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3" w:rsidRDefault="00F27F53"/>
    <w:p w:rsidR="00F27F53" w:rsidRDefault="005168A8">
      <w:pPr>
        <w:rPr>
          <w:sz w:val="26"/>
        </w:rPr>
      </w:pPr>
      <w:r>
        <w:t xml:space="preserve">                                                                       </w:t>
      </w:r>
      <w:r>
        <w:rPr>
          <w:noProof/>
          <w:sz w:val="26"/>
        </w:rPr>
        <w:drawing>
          <wp:inline distT="0" distB="0" distL="0" distR="0">
            <wp:extent cx="604393" cy="6904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393" cy="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F27F53" w:rsidRDefault="00F27F53">
      <w:pPr>
        <w:spacing w:line="100" w:lineRule="atLeast"/>
        <w:rPr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>ПОСТАНОВЛЕНИЕ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01.02.</w:t>
      </w:r>
      <w:r>
        <w:rPr>
          <w:sz w:val="26"/>
        </w:rPr>
        <w:t xml:space="preserve">2023 г.                                       </w:t>
      </w:r>
      <w:r>
        <w:rPr>
          <w:sz w:val="26"/>
        </w:rPr>
        <w:t xml:space="preserve">    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аштып</w:t>
      </w:r>
      <w:proofErr w:type="spellEnd"/>
      <w:r>
        <w:rPr>
          <w:sz w:val="26"/>
        </w:rPr>
        <w:t xml:space="preserve">                                                 № 32</w:t>
      </w:r>
    </w:p>
    <w:p w:rsidR="00F27F53" w:rsidRDefault="00F27F53">
      <w:pPr>
        <w:spacing w:line="100" w:lineRule="atLeast"/>
        <w:rPr>
          <w:sz w:val="26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</w:tblGrid>
      <w:tr w:rsidR="00F27F53">
        <w:trPr>
          <w:trHeight w:val="615"/>
        </w:trPr>
        <w:tc>
          <w:tcPr>
            <w:tcW w:w="5366" w:type="dxa"/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 xml:space="preserve">О </w:t>
            </w:r>
            <w:proofErr w:type="gramStart"/>
            <w:r>
              <w:rPr>
                <w:sz w:val="26"/>
              </w:rPr>
              <w:t>внесении</w:t>
            </w:r>
            <w:proofErr w:type="gramEnd"/>
            <w:r>
              <w:rPr>
                <w:sz w:val="26"/>
              </w:rPr>
              <w:t xml:space="preserve"> изменений в приложение к  постановлению Администрации Таштыпского района от 18.04.2016г. №176 «О принятии муниципальной программы «Улучшение</w:t>
            </w:r>
            <w:r>
              <w:rPr>
                <w:sz w:val="26"/>
              </w:rPr>
              <w:t xml:space="preserve"> условий охраны труда в </w:t>
            </w:r>
            <w:proofErr w:type="spellStart"/>
            <w:r>
              <w:rPr>
                <w:sz w:val="26"/>
              </w:rPr>
              <w:t>Таштыпском</w:t>
            </w:r>
            <w:proofErr w:type="spellEnd"/>
            <w:r>
              <w:rPr>
                <w:sz w:val="26"/>
              </w:rPr>
              <w:t xml:space="preserve"> районе» (с изменениями от 11.04.2022г. №159)</w:t>
            </w:r>
          </w:p>
        </w:tc>
      </w:tr>
      <w:tr w:rsidR="00F27F53">
        <w:trPr>
          <w:trHeight w:val="615"/>
        </w:trPr>
        <w:tc>
          <w:tcPr>
            <w:tcW w:w="5366" w:type="dxa"/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>
            <w:pPr>
              <w:spacing w:line="100" w:lineRule="atLeast"/>
              <w:jc w:val="both"/>
              <w:rPr>
                <w:sz w:val="26"/>
              </w:rPr>
            </w:pPr>
          </w:p>
        </w:tc>
      </w:tr>
    </w:tbl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В целях приведения в соответствие с Решением Совета депутатов от 23.12.2022 №27 «О бюджете Таштыпского района на 2023 год и на плановый период 2024 и 2025 годов», руководств</w:t>
      </w:r>
      <w:r>
        <w:rPr>
          <w:sz w:val="26"/>
        </w:rPr>
        <w:t>уясь п.3 ч.1 ст.29 Устава муниципального образования Таштыпский район от 24.06.2005г. Администрация Таштыпского района постановляет:</w:t>
      </w:r>
    </w:p>
    <w:p w:rsidR="00F27F53" w:rsidRDefault="00F27F53">
      <w:pPr>
        <w:spacing w:line="100" w:lineRule="atLeast"/>
        <w:ind w:firstLine="709"/>
        <w:jc w:val="both"/>
        <w:rPr>
          <w:sz w:val="26"/>
        </w:rPr>
      </w:pPr>
    </w:p>
    <w:p w:rsidR="00F27F53" w:rsidRDefault="005168A8">
      <w:pPr>
        <w:numPr>
          <w:ilvl w:val="0"/>
          <w:numId w:val="1"/>
        </w:numPr>
        <w:spacing w:line="0" w:lineRule="atLeast"/>
        <w:ind w:left="0" w:firstLine="709"/>
        <w:jc w:val="both"/>
        <w:rPr>
          <w:sz w:val="26"/>
        </w:rPr>
      </w:pPr>
      <w:r>
        <w:rPr>
          <w:sz w:val="26"/>
        </w:rPr>
        <w:t xml:space="preserve">Внести изменения в приложение к постановлению Администрации Таштыпского района от 18.04.2016г. №176 «О </w:t>
      </w:r>
      <w:proofErr w:type="gramStart"/>
      <w:r>
        <w:rPr>
          <w:sz w:val="26"/>
        </w:rPr>
        <w:t>принятии</w:t>
      </w:r>
      <w:proofErr w:type="gramEnd"/>
      <w:r>
        <w:rPr>
          <w:sz w:val="26"/>
        </w:rPr>
        <w:t xml:space="preserve"> </w:t>
      </w:r>
      <w:r>
        <w:rPr>
          <w:sz w:val="26"/>
        </w:rPr>
        <w:t xml:space="preserve">муниципальной программы «Улучшение условий охраны труда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районе», изложив его в новой редакции (прилагается).</w:t>
      </w:r>
    </w:p>
    <w:p w:rsidR="00F27F53" w:rsidRDefault="005168A8">
      <w:pPr>
        <w:tabs>
          <w:tab w:val="left" w:pos="615"/>
        </w:tabs>
        <w:spacing w:line="0" w:lineRule="atLeast"/>
        <w:ind w:left="15" w:firstLine="709"/>
        <w:jc w:val="both"/>
        <w:rPr>
          <w:sz w:val="26"/>
        </w:rPr>
      </w:pPr>
      <w:r>
        <w:rPr>
          <w:sz w:val="26"/>
        </w:rPr>
        <w:t xml:space="preserve">2. Контроль за исполнением настоящего постановления возложить на </w:t>
      </w:r>
      <w:proofErr w:type="spellStart"/>
      <w:r>
        <w:rPr>
          <w:sz w:val="26"/>
        </w:rPr>
        <w:t>и</w:t>
      </w:r>
      <w:proofErr w:type="gramStart"/>
      <w:r>
        <w:rPr>
          <w:sz w:val="26"/>
        </w:rPr>
        <w:t>.о</w:t>
      </w:r>
      <w:proofErr w:type="spellEnd"/>
      <w:proofErr w:type="gramEnd"/>
      <w:r>
        <w:rPr>
          <w:sz w:val="26"/>
        </w:rPr>
        <w:t xml:space="preserve"> заместителя Главы Таштыпского района по экономике </w:t>
      </w:r>
      <w:proofErr w:type="spellStart"/>
      <w:r>
        <w:rPr>
          <w:sz w:val="26"/>
        </w:rPr>
        <w:t>И.Н.Тохтобину</w:t>
      </w:r>
      <w:proofErr w:type="spellEnd"/>
      <w:r>
        <w:rPr>
          <w:sz w:val="26"/>
        </w:rPr>
        <w:t>.</w:t>
      </w:r>
    </w:p>
    <w:p w:rsidR="00F27F53" w:rsidRDefault="005168A8">
      <w:pPr>
        <w:spacing w:line="0" w:lineRule="atLeast"/>
        <w:ind w:left="15" w:firstLine="709"/>
        <w:jc w:val="both"/>
      </w:pPr>
      <w:r>
        <w:rPr>
          <w:sz w:val="26"/>
        </w:rPr>
        <w:t xml:space="preserve">   </w:t>
      </w: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5168A8">
      <w:pPr>
        <w:spacing w:line="100" w:lineRule="atLeast"/>
        <w:jc w:val="both"/>
      </w:pPr>
      <w:r>
        <w:rPr>
          <w:rStyle w:val="FontStyle450"/>
          <w:sz w:val="26"/>
        </w:rPr>
        <w:t>Глава Таштыпского района</w:t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</w:r>
      <w:r>
        <w:rPr>
          <w:rStyle w:val="FontStyle450"/>
          <w:sz w:val="26"/>
        </w:rPr>
        <w:tab/>
        <w:t xml:space="preserve">            </w:t>
      </w:r>
      <w:proofErr w:type="spellStart"/>
      <w:r>
        <w:rPr>
          <w:rStyle w:val="FontStyle450"/>
          <w:sz w:val="26"/>
        </w:rPr>
        <w:t>Н.В.Чебодаев</w:t>
      </w:r>
      <w:proofErr w:type="spellEnd"/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F27F53">
      <w:pPr>
        <w:spacing w:line="100" w:lineRule="atLeast"/>
      </w:pPr>
    </w:p>
    <w:p w:rsidR="00F27F53" w:rsidRDefault="005168A8">
      <w:pPr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Приложение к постановлению </w:t>
      </w:r>
    </w:p>
    <w:p w:rsidR="00F27F53" w:rsidRDefault="005168A8">
      <w:pPr>
        <w:jc w:val="right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F27F53" w:rsidRDefault="005168A8" w:rsidP="005168A8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</w:t>
      </w:r>
      <w:bookmarkStart w:id="0" w:name="_GoBack"/>
      <w:bookmarkEnd w:id="0"/>
      <w:r>
        <w:rPr>
          <w:sz w:val="26"/>
        </w:rPr>
        <w:t>01.02.</w:t>
      </w:r>
      <w:r>
        <w:rPr>
          <w:sz w:val="26"/>
        </w:rPr>
        <w:t xml:space="preserve">2023г.  </w:t>
      </w:r>
      <w:r>
        <w:rPr>
          <w:sz w:val="26"/>
        </w:rPr>
        <w:t>№ 32</w:t>
      </w: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 xml:space="preserve"> МУНИЦИПАЛЬНАЯ  ПРОГРАММА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sz w:val="26"/>
        </w:rPr>
        <w:t xml:space="preserve">«Улучшение условий охраны труда в 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»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b/>
          <w:sz w:val="26"/>
        </w:rPr>
      </w:pPr>
    </w:p>
    <w:p w:rsidR="00F27F53" w:rsidRDefault="00F27F53">
      <w:pPr>
        <w:spacing w:line="100" w:lineRule="atLeast"/>
        <w:jc w:val="center"/>
      </w:pPr>
    </w:p>
    <w:p w:rsidR="00F27F53" w:rsidRDefault="00F27F53">
      <w:pPr>
        <w:spacing w:line="100" w:lineRule="atLeast"/>
        <w:jc w:val="center"/>
      </w:pPr>
    </w:p>
    <w:p w:rsidR="00F27F53" w:rsidRDefault="00F27F53">
      <w:pPr>
        <w:spacing w:line="100" w:lineRule="atLeast"/>
        <w:jc w:val="center"/>
        <w:rPr>
          <w:b/>
          <w:sz w:val="26"/>
        </w:rPr>
      </w:pPr>
    </w:p>
    <w:p w:rsidR="00F27F53" w:rsidRDefault="00F27F53">
      <w:pPr>
        <w:spacing w:line="100" w:lineRule="atLeast"/>
        <w:jc w:val="center"/>
        <w:rPr>
          <w:b/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>Паспорт программы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Наименование программы                       Муниципальная программа                                             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«Улучшение условий охраны труда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 xml:space="preserve">                                          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».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Основание принятия решения                 Трудовой кодекс Российской Федерации,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о разработке программы                          Закон Республики Хакасия от 21.02.2006г.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№  1-ЗРХ «Об охране труда в Республике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Хакасия», Закон Республике Хакасия </w:t>
      </w:r>
      <w:proofErr w:type="gramStart"/>
      <w:r>
        <w:rPr>
          <w:sz w:val="26"/>
        </w:rPr>
        <w:t>от</w:t>
      </w:r>
      <w:proofErr w:type="gramEnd"/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27.09.2007 г. № 60 – ЗРХ «О </w:t>
      </w:r>
      <w:proofErr w:type="gramStart"/>
      <w:r>
        <w:rPr>
          <w:sz w:val="26"/>
        </w:rPr>
        <w:t>наделении</w:t>
      </w:r>
      <w:proofErr w:type="gramEnd"/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органов местного самоуправления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муниципальных районов и</w:t>
      </w:r>
      <w:r>
        <w:rPr>
          <w:sz w:val="26"/>
        </w:rPr>
        <w:t xml:space="preserve"> городских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округов Республики Хакасия </w:t>
      </w:r>
      <w:proofErr w:type="gramStart"/>
      <w:r>
        <w:rPr>
          <w:sz w:val="26"/>
        </w:rPr>
        <w:t>отдельными</w:t>
      </w:r>
      <w:proofErr w:type="gramEnd"/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государственными полномочиями в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r>
        <w:rPr>
          <w:sz w:val="26"/>
        </w:rPr>
        <w:t xml:space="preserve">                               области охраны труда».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>Ответственный исполнитель                   Администрация Таштыпского района.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Цель программы     </w:t>
      </w:r>
      <w:r>
        <w:rPr>
          <w:sz w:val="26"/>
        </w:rPr>
        <w:t xml:space="preserve">                                  Улучшение условий и охраны труда у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</w:t>
      </w:r>
      <w:proofErr w:type="gramStart"/>
      <w:r>
        <w:rPr>
          <w:sz w:val="26"/>
        </w:rPr>
        <w:t xml:space="preserve">работодателей (социальная сфера, </w:t>
      </w:r>
      <w:proofErr w:type="gramEnd"/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крупные   учреждения), </w:t>
      </w:r>
      <w:proofErr w:type="gramStart"/>
      <w:r>
        <w:rPr>
          <w:sz w:val="26"/>
        </w:rPr>
        <w:t>расположенных</w:t>
      </w:r>
      <w:proofErr w:type="gramEnd"/>
      <w:r>
        <w:rPr>
          <w:sz w:val="26"/>
        </w:rPr>
        <w:t xml:space="preserve"> на                                                                                       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</w:t>
      </w:r>
      <w:r>
        <w:rPr>
          <w:sz w:val="26"/>
        </w:rPr>
        <w:t xml:space="preserve">                        территории Таштыпского района и, как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следствие,  снижение  уровня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производственного травматизма</w:t>
      </w:r>
      <w:r>
        <w:rPr>
          <w:sz w:val="26"/>
        </w:rPr>
        <w:t xml:space="preserve"> и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профессиональной заболеваемости.                                                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Задачи                                                         1.Обеспечение оценки условий труда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</w:t>
      </w:r>
      <w:r>
        <w:rPr>
          <w:sz w:val="26"/>
        </w:rPr>
        <w:t xml:space="preserve">                                               работников и получения работниками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объективной информации о состоянии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условий и охраны труда на рабочих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  <w:proofErr w:type="gramStart"/>
      <w:r>
        <w:rPr>
          <w:sz w:val="26"/>
        </w:rPr>
        <w:t>местах</w:t>
      </w:r>
      <w:proofErr w:type="gramEnd"/>
      <w:r>
        <w:rPr>
          <w:sz w:val="26"/>
        </w:rPr>
        <w:t>;</w:t>
      </w:r>
    </w:p>
    <w:p w:rsidR="00F27F53" w:rsidRDefault="005168A8">
      <w:pPr>
        <w:tabs>
          <w:tab w:val="left" w:pos="4320"/>
        </w:tabs>
        <w:spacing w:line="100" w:lineRule="atLeast"/>
        <w:ind w:right="-15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2. Реа</w:t>
      </w:r>
      <w:r>
        <w:rPr>
          <w:sz w:val="26"/>
        </w:rPr>
        <w:t>лизация превентивных мер,</w:t>
      </w:r>
    </w:p>
    <w:p w:rsidR="00F27F53" w:rsidRDefault="005168A8">
      <w:pPr>
        <w:tabs>
          <w:tab w:val="left" w:pos="4320"/>
        </w:tabs>
        <w:spacing w:line="100" w:lineRule="atLeast"/>
        <w:ind w:right="-15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направленных на улучшение условий труда</w:t>
      </w:r>
    </w:p>
    <w:p w:rsidR="00F27F53" w:rsidRDefault="005168A8">
      <w:pPr>
        <w:tabs>
          <w:tab w:val="left" w:pos="4320"/>
        </w:tabs>
        <w:spacing w:line="100" w:lineRule="atLeast"/>
        <w:ind w:right="-15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работников;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</w:t>
      </w:r>
      <w:r>
        <w:rPr>
          <w:sz w:val="26"/>
        </w:rPr>
        <w:t xml:space="preserve">                             3. Снижение уровня производственного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травматизма и </w:t>
      </w:r>
      <w:proofErr w:type="gramStart"/>
      <w:r>
        <w:rPr>
          <w:sz w:val="26"/>
        </w:rPr>
        <w:t>профессиональной</w:t>
      </w:r>
      <w:proofErr w:type="gramEnd"/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заболеваемости, включ</w:t>
      </w:r>
      <w:r>
        <w:rPr>
          <w:sz w:val="26"/>
        </w:rPr>
        <w:t xml:space="preserve">ая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совершенствование  лечебно-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профилактического обслуживания и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</w:t>
      </w:r>
      <w:r>
        <w:rPr>
          <w:sz w:val="26"/>
        </w:rPr>
        <w:t xml:space="preserve">                обеспечение </w:t>
      </w:r>
      <w:proofErr w:type="gramStart"/>
      <w:r>
        <w:rPr>
          <w:sz w:val="26"/>
        </w:rPr>
        <w:t>современными</w:t>
      </w:r>
      <w:proofErr w:type="gramEnd"/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высокотехнологичными средствами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индивидуальной и коллективной защиты</w:t>
      </w:r>
    </w:p>
    <w:p w:rsidR="00F27F53" w:rsidRDefault="005168A8">
      <w:pPr>
        <w:spacing w:line="100" w:lineRule="atLeast"/>
        <w:jc w:val="both"/>
      </w:pPr>
      <w:r>
        <w:rPr>
          <w:sz w:val="26"/>
        </w:rPr>
        <w:t xml:space="preserve">        </w:t>
      </w:r>
      <w:r>
        <w:rPr>
          <w:sz w:val="26"/>
        </w:rPr>
        <w:t xml:space="preserve">                                                             работающего населения.</w:t>
      </w:r>
    </w:p>
    <w:p w:rsidR="00F27F53" w:rsidRDefault="005168A8">
      <w:pPr>
        <w:tabs>
          <w:tab w:val="left" w:pos="210"/>
        </w:tabs>
        <w:spacing w:line="0" w:lineRule="atLeast"/>
        <w:jc w:val="both"/>
        <w:rPr>
          <w:sz w:val="26"/>
        </w:rPr>
      </w:pPr>
      <w:r>
        <w:rPr>
          <w:sz w:val="26"/>
        </w:rPr>
        <w:lastRenderedPageBreak/>
        <w:t xml:space="preserve">Целевые показатели                                        Коэффициент частоты несчастных случаев                                               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                                             </w:t>
      </w:r>
      <w:proofErr w:type="gramStart"/>
      <w:r>
        <w:rPr>
          <w:sz w:val="26"/>
        </w:rPr>
        <w:t xml:space="preserve">на производстве (кол-во пострадавших на  </w:t>
      </w:r>
      <w:proofErr w:type="gramEnd"/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</w:t>
      </w:r>
      <w:proofErr w:type="gramStart"/>
      <w:r>
        <w:rPr>
          <w:sz w:val="26"/>
        </w:rPr>
        <w:t xml:space="preserve">1000 раб.): </w:t>
      </w:r>
      <w:proofErr w:type="gramEnd"/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2020г.-0, 2021г.-1,1, 2022г.-0, 2023г. -0,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2024г.-0, 2025г.-0.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</w:t>
      </w:r>
      <w:r>
        <w:rPr>
          <w:sz w:val="26"/>
        </w:rPr>
        <w:t xml:space="preserve">                             </w:t>
      </w:r>
      <w:proofErr w:type="gramStart"/>
      <w:r>
        <w:rPr>
          <w:sz w:val="26"/>
        </w:rPr>
        <w:t xml:space="preserve">Коэффициент тяжести (кол-во дней </w:t>
      </w:r>
      <w:proofErr w:type="gramEnd"/>
    </w:p>
    <w:p w:rsidR="00F27F53" w:rsidRDefault="005168A8">
      <w:pPr>
        <w:tabs>
          <w:tab w:val="left" w:pos="4500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нетрудоспособности  на одного</w:t>
      </w:r>
    </w:p>
    <w:p w:rsidR="00F27F53" w:rsidRDefault="005168A8">
      <w:pPr>
        <w:tabs>
          <w:tab w:val="left" w:pos="4500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пострадавшего):</w:t>
      </w:r>
    </w:p>
    <w:p w:rsidR="00F27F53" w:rsidRDefault="005168A8">
      <w:pPr>
        <w:tabs>
          <w:tab w:val="left" w:pos="4500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</w:t>
      </w:r>
      <w:r>
        <w:t xml:space="preserve">                                                    </w:t>
      </w:r>
      <w:r>
        <w:rPr>
          <w:sz w:val="26"/>
        </w:rPr>
        <w:t xml:space="preserve">2020г.-0, 2021г.-30,1, 2022г.-0, 2023г.-0, </w:t>
      </w:r>
    </w:p>
    <w:p w:rsidR="00F27F53" w:rsidRDefault="005168A8">
      <w:pPr>
        <w:tabs>
          <w:tab w:val="left" w:pos="4500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</w:t>
      </w:r>
      <w:r>
        <w:t xml:space="preserve">                                                    </w:t>
      </w:r>
      <w:r>
        <w:rPr>
          <w:sz w:val="26"/>
        </w:rPr>
        <w:t>2024г-0, 2025г-0.</w:t>
      </w:r>
    </w:p>
    <w:p w:rsidR="00F27F53" w:rsidRDefault="005168A8">
      <w:pPr>
        <w:tabs>
          <w:tab w:val="left" w:pos="4035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</w:t>
      </w:r>
      <w:r>
        <w:rPr>
          <w:sz w:val="26"/>
        </w:rPr>
        <w:t xml:space="preserve">                                     Обучение по охране труда, обучение</w:t>
      </w:r>
    </w:p>
    <w:p w:rsidR="00F27F53" w:rsidRDefault="005168A8">
      <w:pPr>
        <w:tabs>
          <w:tab w:val="left" w:pos="4035"/>
        </w:tabs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оказанию первой помощи пострадавшим </w:t>
      </w:r>
      <w:proofErr w:type="gramStart"/>
      <w:r>
        <w:rPr>
          <w:sz w:val="26"/>
        </w:rPr>
        <w:t>на</w:t>
      </w:r>
      <w:proofErr w:type="gramEnd"/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</w:t>
      </w:r>
      <w:r>
        <w:rPr>
          <w:sz w:val="26"/>
        </w:rPr>
        <w:t xml:space="preserve">   </w:t>
      </w:r>
      <w:proofErr w:type="gramStart"/>
      <w:r>
        <w:rPr>
          <w:sz w:val="26"/>
        </w:rPr>
        <w:t>производстве</w:t>
      </w:r>
      <w:proofErr w:type="gramEnd"/>
      <w:r>
        <w:rPr>
          <w:sz w:val="26"/>
        </w:rPr>
        <w:t xml:space="preserve"> безопасным методам и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приемам работ: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2020г.-20, 2021г.-27, 2022г.-27, 2023г.-27,             </w:t>
      </w:r>
      <w:r>
        <w:rPr>
          <w:sz w:val="26"/>
        </w:rPr>
        <w:t xml:space="preserve">                 </w:t>
      </w:r>
    </w:p>
    <w:p w:rsidR="00F27F53" w:rsidRDefault="005168A8">
      <w:pPr>
        <w:spacing w:line="0" w:lineRule="atLeast"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2024г.-27, 2025г-27.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>Этапы и сроки реализации                            2020-2025г.г.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>Объем и источники финансирования           3 369 600 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2020г. – 431 200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2021г. – 478 000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2022г. – 602 400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2023г. – 662 000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2024г. – 652 000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2025г. – 652 000 рублей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</w:t>
      </w:r>
      <w:r>
        <w:rPr>
          <w:sz w:val="26"/>
        </w:rPr>
        <w:t xml:space="preserve">      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Ожидаемые конечные результаты               Отсутствие случаев </w:t>
      </w:r>
      <w:proofErr w:type="gramStart"/>
      <w:r>
        <w:rPr>
          <w:sz w:val="26"/>
        </w:rPr>
        <w:t>производственного</w:t>
      </w:r>
      <w:proofErr w:type="gramEnd"/>
      <w:r>
        <w:rPr>
          <w:sz w:val="26"/>
        </w:rPr>
        <w:t xml:space="preserve"> 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реализации программы      </w:t>
      </w:r>
      <w:r>
        <w:rPr>
          <w:sz w:val="26"/>
        </w:rPr>
        <w:t xml:space="preserve">                          травматизма со смертельным исходом. 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F27F53">
      <w:pPr>
        <w:spacing w:line="100" w:lineRule="atLeast"/>
        <w:jc w:val="center"/>
      </w:pPr>
    </w:p>
    <w:p w:rsidR="00F27F53" w:rsidRDefault="005168A8">
      <w:pPr>
        <w:pStyle w:val="ad"/>
        <w:spacing w:line="100" w:lineRule="atLeast"/>
        <w:ind w:left="0"/>
        <w:jc w:val="center"/>
        <w:rPr>
          <w:sz w:val="26"/>
        </w:rPr>
      </w:pPr>
      <w:proofErr w:type="spellStart"/>
      <w:r>
        <w:rPr>
          <w:b/>
          <w:sz w:val="26"/>
        </w:rPr>
        <w:lastRenderedPageBreak/>
        <w:t>I.Характеристика</w:t>
      </w:r>
      <w:proofErr w:type="spellEnd"/>
      <w:r>
        <w:rPr>
          <w:b/>
          <w:sz w:val="26"/>
        </w:rPr>
        <w:t xml:space="preserve"> проблемы</w:t>
      </w:r>
    </w:p>
    <w:p w:rsidR="00F27F53" w:rsidRDefault="00F27F53">
      <w:pPr>
        <w:pStyle w:val="ad"/>
        <w:spacing w:line="100" w:lineRule="atLeast"/>
        <w:rPr>
          <w:sz w:val="26"/>
        </w:rPr>
      </w:pP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Численность работающих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 xml:space="preserve"> на 01.01.2022 года составляет 2226 человек.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В современных экономических условиях значительное влияние на </w:t>
      </w:r>
      <w:r>
        <w:rPr>
          <w:sz w:val="26"/>
        </w:rPr>
        <w:t>социально – экономическое благополучие общества оказывает создание здоровых и безопасных условий труда на рабочих местах.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Ситуация в сфере условий охраны труда в 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районе, как и в целом по Российской Федерации и Республике Хакасия в целом остаетс</w:t>
      </w:r>
      <w:r>
        <w:rPr>
          <w:sz w:val="26"/>
        </w:rPr>
        <w:t>я нелегкой.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Имеется проблема производственного травматизма.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 в 2009 произошел 1 тяжелый несчастный случай (ООО «Хакасский ЛПХ-2»), в 2010 году произошел 1 тяжелый несчастный случай (АУ РХ «</w:t>
      </w:r>
      <w:proofErr w:type="spellStart"/>
      <w:r>
        <w:rPr>
          <w:sz w:val="26"/>
        </w:rPr>
        <w:t>Таштыплес</w:t>
      </w:r>
      <w:proofErr w:type="spellEnd"/>
      <w:r>
        <w:rPr>
          <w:sz w:val="26"/>
        </w:rPr>
        <w:t>»), в 2011 году произошел 1 тяжелый нес</w:t>
      </w:r>
      <w:r>
        <w:rPr>
          <w:sz w:val="26"/>
        </w:rPr>
        <w:t xml:space="preserve">частный случай (ИП Надеждин А.И.), в 2012 году произошел 1тяжелый несчастный случай (ООО «Нива»), в 2013 году произошел 1 тяжелый несчастный случай со смертельным исходом (ООО «Таштыпский </w:t>
      </w:r>
      <w:proofErr w:type="spellStart"/>
      <w:r>
        <w:rPr>
          <w:sz w:val="26"/>
        </w:rPr>
        <w:t>хлебокомбинат</w:t>
      </w:r>
      <w:proofErr w:type="spellEnd"/>
      <w:r>
        <w:rPr>
          <w:sz w:val="26"/>
        </w:rPr>
        <w:t>»), в</w:t>
      </w:r>
      <w:proofErr w:type="gramEnd"/>
      <w:r>
        <w:rPr>
          <w:sz w:val="26"/>
        </w:rPr>
        <w:t xml:space="preserve"> 2017г. произошел несчастный случай со смертельным</w:t>
      </w:r>
      <w:r>
        <w:rPr>
          <w:sz w:val="26"/>
        </w:rPr>
        <w:t xml:space="preserve"> исходом (ГУП РХ «ДРСУ»), в 2018 г. произошло 3 несчастных случая, один из которых со смертельным исходом, это: </w:t>
      </w:r>
      <w:proofErr w:type="gramStart"/>
      <w:r>
        <w:rPr>
          <w:sz w:val="26"/>
        </w:rPr>
        <w:t>(ООО «Нива», Артель старателей «</w:t>
      </w:r>
      <w:proofErr w:type="spellStart"/>
      <w:r>
        <w:rPr>
          <w:sz w:val="26"/>
        </w:rPr>
        <w:t>Ойна</w:t>
      </w:r>
      <w:proofErr w:type="spellEnd"/>
      <w:r>
        <w:rPr>
          <w:sz w:val="26"/>
        </w:rPr>
        <w:t>», ГБУЗ РХ «Таштыпская РБ»), в 2021 году произошел 1 тяжелый несчастный случай со смертельный исходом (ГУП Р</w:t>
      </w:r>
      <w:r>
        <w:rPr>
          <w:sz w:val="26"/>
        </w:rPr>
        <w:t>Х «ДРСУ»).</w:t>
      </w:r>
      <w:proofErr w:type="gramEnd"/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Анализ производственного травматизма показывает, что основными причинами являются: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не прохождение</w:t>
      </w:r>
      <w:proofErr w:type="gramEnd"/>
      <w:r>
        <w:rPr>
          <w:sz w:val="26"/>
        </w:rPr>
        <w:t xml:space="preserve"> обучения по охране труда работодателей и работников;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не проведение обучения работников безопасным методам проведения работ;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не соблюдение </w:t>
      </w:r>
      <w:r>
        <w:rPr>
          <w:sz w:val="26"/>
        </w:rPr>
        <w:t>безопасных методов проведения работ;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неудовлетворительная организация производства работ;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неприменение средств </w:t>
      </w:r>
      <w:proofErr w:type="gramStart"/>
      <w:r>
        <w:rPr>
          <w:sz w:val="26"/>
        </w:rPr>
        <w:t>индивидуальной</w:t>
      </w:r>
      <w:proofErr w:type="gramEnd"/>
      <w:r>
        <w:rPr>
          <w:sz w:val="26"/>
        </w:rPr>
        <w:t xml:space="preserve"> защиты.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Обучение безопасным методам проведения работ проводится только в некоторых организациях ГУП РХ «Таштыпское ДРСУ», Ташт</w:t>
      </w:r>
      <w:r>
        <w:rPr>
          <w:sz w:val="26"/>
        </w:rPr>
        <w:t>ыпский филиал ОАО «Сибирьтелеком», ОАО «Хакасэнерго». В других организациях данный вид обучения не проводится так, как отсутствуют инженеры по охране труда, лица ответственные за охрану труда.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pStyle w:val="ad"/>
        <w:spacing w:line="100" w:lineRule="atLeast"/>
        <w:jc w:val="center"/>
        <w:rPr>
          <w:sz w:val="26"/>
        </w:rPr>
      </w:pPr>
      <w:proofErr w:type="spellStart"/>
      <w:r>
        <w:rPr>
          <w:b/>
          <w:sz w:val="26"/>
        </w:rPr>
        <w:t>II.Цели</w:t>
      </w:r>
      <w:proofErr w:type="spellEnd"/>
      <w:r>
        <w:rPr>
          <w:b/>
          <w:sz w:val="26"/>
        </w:rPr>
        <w:t xml:space="preserve"> и задачи</w:t>
      </w:r>
    </w:p>
    <w:p w:rsidR="00F27F53" w:rsidRDefault="00F27F53">
      <w:pPr>
        <w:pStyle w:val="ad"/>
        <w:spacing w:line="100" w:lineRule="atLeast"/>
        <w:rPr>
          <w:sz w:val="26"/>
        </w:rPr>
      </w:pP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Целью является улучшение условий и охраны тр</w:t>
      </w:r>
      <w:r>
        <w:rPr>
          <w:sz w:val="26"/>
        </w:rPr>
        <w:t xml:space="preserve">уда у работодателей (социальная сфера, крупные учреждения), расположенных на территории Таштыпского района и, как следствие снижение уровня производственного травматизма и профессиональной заболеваемости. 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proofErr w:type="gramStart"/>
      <w:r>
        <w:rPr>
          <w:sz w:val="26"/>
        </w:rPr>
        <w:t>Задачами является: 1.обеспечение оценки условий тр</w:t>
      </w:r>
      <w:r>
        <w:rPr>
          <w:sz w:val="26"/>
        </w:rPr>
        <w:t>уда работников и получения работниками объективной информации о состоянии условий и охраны труда на рабочих местах; 2.реализация превентивных мер, направленных на улучшение условий труда работников; 3.снижение уровня производственного травматизма и професс</w:t>
      </w:r>
      <w:r>
        <w:rPr>
          <w:sz w:val="26"/>
        </w:rPr>
        <w:t>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  <w:proofErr w:type="gramEnd"/>
    </w:p>
    <w:p w:rsidR="00F27F53" w:rsidRDefault="00F27F53">
      <w:pPr>
        <w:spacing w:line="100" w:lineRule="atLeast"/>
        <w:ind w:firstLine="709"/>
        <w:jc w:val="both"/>
        <w:rPr>
          <w:sz w:val="26"/>
        </w:rPr>
      </w:pPr>
    </w:p>
    <w:p w:rsidR="00F27F53" w:rsidRDefault="005168A8">
      <w:pPr>
        <w:spacing w:line="100" w:lineRule="atLeast"/>
        <w:jc w:val="center"/>
        <w:rPr>
          <w:b/>
          <w:sz w:val="26"/>
        </w:rPr>
      </w:pPr>
      <w:r>
        <w:rPr>
          <w:b/>
          <w:sz w:val="26"/>
        </w:rPr>
        <w:lastRenderedPageBreak/>
        <w:t>III. Сроки реализации муниципальной программы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b/>
          <w:sz w:val="26"/>
        </w:rPr>
        <w:t xml:space="preserve"> </w:t>
      </w:r>
      <w:r>
        <w:rPr>
          <w:sz w:val="26"/>
        </w:rPr>
        <w:t xml:space="preserve">                                     Сроки реализации программы: 2020-2025г.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>IV. Перечень основных мероприятий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sz w:val="26"/>
        </w:rPr>
        <w:t>Таблица 1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360"/>
        <w:gridCol w:w="1367"/>
        <w:gridCol w:w="1426"/>
        <w:gridCol w:w="1962"/>
        <w:gridCol w:w="1976"/>
      </w:tblGrid>
      <w:tr w:rsidR="00F27F53"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№ п\</w:t>
            </w: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2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Мероприятия программы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Срок выполнения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>Источник финансирования</w:t>
            </w:r>
          </w:p>
        </w:tc>
      </w:tr>
      <w:tr w:rsidR="00F27F53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>
              <w:rPr>
                <w:sz w:val="26"/>
              </w:rPr>
              <w:t>смотров-конкурсов по охране труда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Ведущий специалист по охране труда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2020г.-2025г.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2020г.–0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2021г.–0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2022г.–0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2023г.–10,000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2024г.–0 рублей</w:t>
            </w:r>
          </w:p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>2025г.–0 рублей</w:t>
            </w:r>
          </w:p>
          <w:p w:rsidR="00F27F53" w:rsidRDefault="00F27F53">
            <w:pPr>
              <w:spacing w:line="100" w:lineRule="atLeast"/>
              <w:jc w:val="both"/>
            </w:pP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Таштыпского</w:t>
            </w:r>
          </w:p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 xml:space="preserve"> района</w:t>
            </w:r>
          </w:p>
        </w:tc>
      </w:tr>
      <w:tr w:rsidR="00F27F53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</w:pPr>
            <w:r>
              <w:t>2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</w:pPr>
            <w:proofErr w:type="spellStart"/>
            <w:r>
              <w:t>Органиция</w:t>
            </w:r>
            <w:proofErr w:type="spellEnd"/>
            <w:r>
              <w:t xml:space="preserve"> и </w:t>
            </w:r>
            <w:proofErr w:type="spellStart"/>
            <w:r>
              <w:t>коррдинация</w:t>
            </w:r>
            <w:proofErr w:type="spellEnd"/>
            <w:r>
              <w:t xml:space="preserve"> работы в системе</w:t>
            </w:r>
            <w:r>
              <w:t xml:space="preserve"> управления охраной труда в </w:t>
            </w:r>
            <w:proofErr w:type="spellStart"/>
            <w:r>
              <w:t>Таштыпском</w:t>
            </w:r>
            <w:proofErr w:type="spellEnd"/>
            <w:r>
              <w:t xml:space="preserve"> районе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F27F53">
            <w:pPr>
              <w:spacing w:line="100" w:lineRule="atLeast"/>
              <w:jc w:val="both"/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2020г.-2025г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2022г-69400 рублей.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Таштыпского</w:t>
            </w:r>
          </w:p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 xml:space="preserve"> района</w:t>
            </w:r>
          </w:p>
        </w:tc>
      </w:tr>
      <w:tr w:rsidR="00F27F53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органами местного самоуправления государственных полномочий в области охраны труда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Ведущий специалист по охране труда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2020г.-2025г.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2020г. – 431 200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2021г.- 478  000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2022г. – 523 000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2023г.-652 000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2024г.-652 000 рублей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2025г.-652 000 рублей</w:t>
            </w:r>
          </w:p>
          <w:p w:rsidR="00F27F53" w:rsidRDefault="00F27F53">
            <w:pPr>
              <w:spacing w:line="100" w:lineRule="atLeast"/>
              <w:jc w:val="both"/>
              <w:rPr>
                <w:sz w:val="26"/>
              </w:rPr>
            </w:pP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</w:p>
          <w:p w:rsidR="00F27F53" w:rsidRDefault="005168A8">
            <w:pPr>
              <w:spacing w:line="100" w:lineRule="atLeast"/>
              <w:jc w:val="both"/>
              <w:rPr>
                <w:sz w:val="26"/>
              </w:rPr>
            </w:pPr>
            <w:r>
              <w:rPr>
                <w:sz w:val="26"/>
              </w:rPr>
              <w:t>Республики</w:t>
            </w:r>
          </w:p>
          <w:p w:rsidR="00F27F53" w:rsidRDefault="005168A8">
            <w:pPr>
              <w:spacing w:line="100" w:lineRule="atLeast"/>
              <w:jc w:val="both"/>
            </w:pPr>
            <w:r>
              <w:rPr>
                <w:sz w:val="26"/>
              </w:rPr>
              <w:t xml:space="preserve"> Хакасия</w:t>
            </w:r>
          </w:p>
        </w:tc>
      </w:tr>
    </w:tbl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>V.</w:t>
      </w:r>
      <w:r>
        <w:rPr>
          <w:sz w:val="26"/>
        </w:rPr>
        <w:t xml:space="preserve"> </w:t>
      </w:r>
      <w:r>
        <w:rPr>
          <w:b/>
          <w:sz w:val="26"/>
        </w:rPr>
        <w:t>Ресурсное обеспечение программы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Финансирование программы осуществляется из следующих источников:</w:t>
      </w:r>
    </w:p>
    <w:p w:rsidR="00F27F53" w:rsidRDefault="005168A8">
      <w:pPr>
        <w:tabs>
          <w:tab w:val="left" w:pos="720"/>
        </w:tabs>
        <w:spacing w:line="100" w:lineRule="atLeast"/>
        <w:jc w:val="both"/>
        <w:rPr>
          <w:sz w:val="26"/>
        </w:rPr>
      </w:pPr>
      <w:r>
        <w:rPr>
          <w:sz w:val="26"/>
        </w:rPr>
        <w:t xml:space="preserve"> -Бюджет  Таштыпского района</w:t>
      </w:r>
    </w:p>
    <w:p w:rsidR="00F27F53" w:rsidRDefault="005168A8">
      <w:pPr>
        <w:spacing w:line="100" w:lineRule="atLeast"/>
        <w:jc w:val="both"/>
        <w:rPr>
          <w:sz w:val="26"/>
        </w:rPr>
      </w:pPr>
      <w:r>
        <w:rPr>
          <w:sz w:val="26"/>
        </w:rPr>
        <w:t xml:space="preserve"> -Бюджет Республики Хакасия   </w:t>
      </w:r>
    </w:p>
    <w:p w:rsidR="00F27F53" w:rsidRDefault="005168A8">
      <w:pPr>
        <w:spacing w:line="100" w:lineRule="atLeast"/>
        <w:jc w:val="both"/>
        <w:rPr>
          <w:b/>
          <w:sz w:val="26"/>
        </w:rPr>
      </w:pPr>
      <w:r>
        <w:rPr>
          <w:sz w:val="26"/>
        </w:rPr>
        <w:t xml:space="preserve">                              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>VI. Перечень целевых показателей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611"/>
        <w:gridCol w:w="1245"/>
        <w:gridCol w:w="986"/>
        <w:gridCol w:w="971"/>
        <w:gridCol w:w="995"/>
        <w:gridCol w:w="855"/>
        <w:gridCol w:w="750"/>
        <w:gridCol w:w="720"/>
        <w:gridCol w:w="75"/>
      </w:tblGrid>
      <w:tr w:rsidR="00F27F53"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  <w:p w:rsidR="00F27F53" w:rsidRDefault="005168A8">
            <w:pPr>
              <w:spacing w:line="100" w:lineRule="atLeas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Показатели (индикаторы) результативности эффективности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b/>
                <w:sz w:val="26"/>
              </w:rPr>
            </w:pPr>
            <w:r>
              <w:rPr>
                <w:b/>
                <w:sz w:val="26"/>
              </w:rPr>
              <w:t>Единица измерения</w:t>
            </w:r>
          </w:p>
        </w:tc>
        <w:tc>
          <w:tcPr>
            <w:tcW w:w="52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Ожидаемый показатель по годам</w:t>
            </w:r>
          </w:p>
          <w:p w:rsidR="00F27F53" w:rsidRDefault="00F27F53">
            <w:pPr>
              <w:spacing w:line="100" w:lineRule="atLeast"/>
              <w:jc w:val="center"/>
              <w:rPr>
                <w:sz w:val="26"/>
              </w:rPr>
            </w:pPr>
          </w:p>
          <w:p w:rsidR="00F27F53" w:rsidRDefault="00F27F53">
            <w:pPr>
              <w:spacing w:line="100" w:lineRule="atLeast"/>
              <w:jc w:val="center"/>
              <w:rPr>
                <w:sz w:val="26"/>
              </w:rPr>
            </w:pPr>
          </w:p>
          <w:p w:rsidR="00F27F53" w:rsidRDefault="00F27F53">
            <w:pPr>
              <w:spacing w:line="100" w:lineRule="atLeast"/>
              <w:jc w:val="center"/>
              <w:rPr>
                <w:sz w:val="26"/>
              </w:rPr>
            </w:pPr>
          </w:p>
          <w:p w:rsidR="00F27F53" w:rsidRDefault="00F27F53">
            <w:pPr>
              <w:spacing w:line="100" w:lineRule="atLeast"/>
              <w:rPr>
                <w:sz w:val="26"/>
              </w:rPr>
            </w:pP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/>
        </w:tc>
      </w:tr>
      <w:tr w:rsidR="00F27F53">
        <w:tc>
          <w:tcPr>
            <w:tcW w:w="417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>
            <w:pPr>
              <w:spacing w:line="100" w:lineRule="atLeast"/>
              <w:rPr>
                <w:sz w:val="26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2020г.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2021г.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2022г.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2023г.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2024г.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ind w:left="-10"/>
            </w:pPr>
            <w:r>
              <w:rPr>
                <w:sz w:val="26"/>
              </w:rPr>
              <w:t>2025г.</w:t>
            </w:r>
          </w:p>
        </w:tc>
      </w:tr>
      <w:tr w:rsidR="00F27F53">
        <w:trPr>
          <w:trHeight w:val="1418"/>
        </w:trPr>
        <w:tc>
          <w:tcPr>
            <w:tcW w:w="3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Коэффициент частоты несчастных случаев на производстве (кол-во пострадавших на 1000 раб.)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1,1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</w:pPr>
            <w:r>
              <w:rPr>
                <w:sz w:val="26"/>
              </w:rPr>
              <w:t>0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/>
        </w:tc>
      </w:tr>
      <w:tr w:rsidR="00F27F53">
        <w:trPr>
          <w:trHeight w:val="1560"/>
        </w:trPr>
        <w:tc>
          <w:tcPr>
            <w:tcW w:w="3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 xml:space="preserve">Коэффициент тяжести (кол-во дней </w:t>
            </w:r>
            <w:r>
              <w:rPr>
                <w:sz w:val="26"/>
              </w:rPr>
              <w:t>нетрудоспособности на одного пострадавшего)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30,1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</w:pPr>
            <w:r>
              <w:rPr>
                <w:sz w:val="26"/>
              </w:rPr>
              <w:t>0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/>
        </w:tc>
      </w:tr>
      <w:tr w:rsidR="00F27F53">
        <w:tc>
          <w:tcPr>
            <w:tcW w:w="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Обучение по охране труда, обучение оказанию первой помощи пострадавшим на производстве, безопасным методам и приемам работ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5168A8">
            <w:pPr>
              <w:spacing w:line="100" w:lineRule="atLeast"/>
            </w:pPr>
            <w:r>
              <w:rPr>
                <w:sz w:val="26"/>
              </w:rPr>
              <w:t>27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7F53" w:rsidRDefault="00F27F53"/>
        </w:tc>
      </w:tr>
    </w:tbl>
    <w:p w:rsidR="00F27F53" w:rsidRDefault="005168A8">
      <w:pPr>
        <w:spacing w:line="100" w:lineRule="atLeast"/>
        <w:jc w:val="both"/>
        <w:rPr>
          <w:b/>
          <w:sz w:val="26"/>
        </w:rPr>
      </w:pPr>
      <w:r>
        <w:rPr>
          <w:sz w:val="26"/>
        </w:rPr>
        <w:t xml:space="preserve">                     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>VII.</w:t>
      </w:r>
      <w:r>
        <w:rPr>
          <w:sz w:val="26"/>
        </w:rPr>
        <w:t xml:space="preserve"> </w:t>
      </w:r>
      <w:r>
        <w:rPr>
          <w:b/>
          <w:sz w:val="26"/>
        </w:rPr>
        <w:t xml:space="preserve">Оценка </w:t>
      </w:r>
      <w:r>
        <w:rPr>
          <w:b/>
          <w:sz w:val="26"/>
        </w:rPr>
        <w:t>эффективности осуществления программы</w:t>
      </w:r>
    </w:p>
    <w:p w:rsidR="00F27F53" w:rsidRDefault="00F27F53">
      <w:pPr>
        <w:spacing w:line="100" w:lineRule="atLeast"/>
        <w:jc w:val="both"/>
        <w:rPr>
          <w:sz w:val="26"/>
        </w:rPr>
      </w:pP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Принятие и реализация настоящей программы будет способствовать повышению эффективности системы управления охраной труда, уровня профессиональной подготовки кадров, созданию более благоприятных условий для работы служб</w:t>
      </w:r>
      <w:r>
        <w:rPr>
          <w:sz w:val="26"/>
        </w:rPr>
        <w:t xml:space="preserve"> охраны труда в организациях, что позволит улучшить ситуацию в области охраны и условий труда.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Социальный эффект от выполнения программы проявится в </w:t>
      </w:r>
      <w:proofErr w:type="gramStart"/>
      <w:r>
        <w:rPr>
          <w:sz w:val="26"/>
        </w:rPr>
        <w:t>сокращении</w:t>
      </w:r>
      <w:proofErr w:type="gramEnd"/>
      <w:r>
        <w:rPr>
          <w:sz w:val="26"/>
        </w:rPr>
        <w:t xml:space="preserve"> травматизма, общей и профессиональной заболеваемости, улучшении безопасных условий труда и </w:t>
      </w:r>
      <w:r>
        <w:rPr>
          <w:sz w:val="26"/>
        </w:rPr>
        <w:t>уровня социальной защищенности работников и удовлетворенности работников условиями труда.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Экономический эффект от реализации программы ожидается:</w:t>
      </w:r>
    </w:p>
    <w:p w:rsidR="00F27F53" w:rsidRDefault="005168A8">
      <w:pPr>
        <w:tabs>
          <w:tab w:val="left" w:pos="108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-в </w:t>
      </w:r>
      <w:proofErr w:type="gramStart"/>
      <w:r>
        <w:rPr>
          <w:sz w:val="26"/>
        </w:rPr>
        <w:t>снижении</w:t>
      </w:r>
      <w:proofErr w:type="gramEnd"/>
      <w:r>
        <w:rPr>
          <w:sz w:val="26"/>
        </w:rPr>
        <w:t xml:space="preserve"> материальных последствий производственного травматизма, общей и профессиональной заболеваемости;</w:t>
      </w:r>
    </w:p>
    <w:p w:rsidR="00F27F53" w:rsidRDefault="005168A8">
      <w:pPr>
        <w:tabs>
          <w:tab w:val="left" w:pos="108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в </w:t>
      </w:r>
      <w:proofErr w:type="gramStart"/>
      <w:r>
        <w:rPr>
          <w:sz w:val="26"/>
        </w:rPr>
        <w:t>повышении</w:t>
      </w:r>
      <w:proofErr w:type="gramEnd"/>
      <w:r>
        <w:rPr>
          <w:sz w:val="26"/>
        </w:rPr>
        <w:t xml:space="preserve"> производительности труда за счет сокращения потерь рабочего времени;</w:t>
      </w:r>
    </w:p>
    <w:p w:rsidR="00F27F53" w:rsidRDefault="005168A8">
      <w:pPr>
        <w:tabs>
          <w:tab w:val="left" w:pos="108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-в </w:t>
      </w:r>
      <w:proofErr w:type="gramStart"/>
      <w:r>
        <w:rPr>
          <w:sz w:val="26"/>
        </w:rPr>
        <w:t>предотвращении</w:t>
      </w:r>
      <w:proofErr w:type="gramEnd"/>
      <w:r>
        <w:rPr>
          <w:sz w:val="26"/>
        </w:rPr>
        <w:t xml:space="preserve"> материального ущерба от аварий, производственного травматизма и профессиональных заболеваний.</w:t>
      </w:r>
    </w:p>
    <w:p w:rsidR="00F27F53" w:rsidRDefault="005168A8">
      <w:pPr>
        <w:tabs>
          <w:tab w:val="left" w:pos="72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Программа </w:t>
      </w:r>
      <w:proofErr w:type="gramStart"/>
      <w:r>
        <w:rPr>
          <w:sz w:val="26"/>
        </w:rPr>
        <w:t>сформирована и реализуется</w:t>
      </w:r>
      <w:proofErr w:type="gramEnd"/>
      <w:r>
        <w:rPr>
          <w:sz w:val="26"/>
        </w:rPr>
        <w:t xml:space="preserve"> как единый комплекс орга</w:t>
      </w:r>
      <w:r>
        <w:rPr>
          <w:sz w:val="26"/>
        </w:rPr>
        <w:t xml:space="preserve">низационных, методических, мероприятий, обеспечивающих достижение поставленных целей. Основное внимание </w:t>
      </w:r>
      <w:proofErr w:type="gramStart"/>
      <w:r>
        <w:rPr>
          <w:sz w:val="26"/>
        </w:rPr>
        <w:t>при разработке Программы уделено минимизации затрат на ее реализацию при одновременной ориентации на достижение социального эффекта при осуществлении</w:t>
      </w:r>
      <w:proofErr w:type="gramEnd"/>
      <w:r>
        <w:rPr>
          <w:sz w:val="26"/>
        </w:rPr>
        <w:t xml:space="preserve"> пр</w:t>
      </w:r>
      <w:r>
        <w:rPr>
          <w:sz w:val="26"/>
        </w:rPr>
        <w:t>ограммных мероприятий.</w:t>
      </w:r>
    </w:p>
    <w:p w:rsidR="00F27F53" w:rsidRDefault="005168A8">
      <w:pPr>
        <w:tabs>
          <w:tab w:val="left" w:pos="72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Предприятия и организации, осуществляющие соответствующие меры по улучшению условий и охраны труда, получают экономический эффект за счет сокращения штрафов за нарушение требований действующего законодательства. Их реальная выгода </w:t>
      </w:r>
      <w:r>
        <w:rPr>
          <w:sz w:val="26"/>
        </w:rPr>
        <w:t>может быть достоверно определена только по фактическим результатам.</w:t>
      </w:r>
    </w:p>
    <w:p w:rsidR="00F27F53" w:rsidRDefault="005168A8">
      <w:pPr>
        <w:tabs>
          <w:tab w:val="left" w:pos="720"/>
        </w:tabs>
        <w:spacing w:line="100" w:lineRule="atLeast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- Общеэкономический эффект от улучшения условий и охраны труда проявляется в увеличении доходов предприятий и организаций, а также налоговых </w:t>
      </w:r>
      <w:r>
        <w:rPr>
          <w:sz w:val="26"/>
        </w:rPr>
        <w:lastRenderedPageBreak/>
        <w:t>поступлений в бюджеты всех уровней в результате</w:t>
      </w:r>
      <w:r>
        <w:rPr>
          <w:sz w:val="26"/>
        </w:rPr>
        <w:t xml:space="preserve"> сокращения выплат пособий по временной нетрудоспособности, единовременных и ежемесячных выплат пострадавшим на производстве или их родственникам в связи с потерей кормильца, уменьшения расходов на медицинскую, профессиональную и социальную реабилитацию, с</w:t>
      </w:r>
      <w:r>
        <w:rPr>
          <w:sz w:val="26"/>
        </w:rPr>
        <w:t>пециальный медицинский уход, санаторно-курортное лечение, протезирование</w:t>
      </w:r>
      <w:proofErr w:type="gramEnd"/>
      <w:r>
        <w:rPr>
          <w:sz w:val="26"/>
        </w:rPr>
        <w:t xml:space="preserve"> и обеспечение инвалидов труда приспособлениями для трудовой деятельности и транспортными средствами.</w:t>
      </w:r>
    </w:p>
    <w:p w:rsidR="00F27F53" w:rsidRDefault="005168A8">
      <w:pPr>
        <w:tabs>
          <w:tab w:val="left" w:pos="720"/>
        </w:tabs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Социальный эффект от выполнения Программы проявится в </w:t>
      </w:r>
      <w:proofErr w:type="gramStart"/>
      <w:r>
        <w:rPr>
          <w:sz w:val="26"/>
        </w:rPr>
        <w:t>сокращении</w:t>
      </w:r>
      <w:proofErr w:type="gramEnd"/>
      <w:r>
        <w:rPr>
          <w:sz w:val="26"/>
        </w:rPr>
        <w:t xml:space="preserve"> производственно</w:t>
      </w:r>
      <w:r>
        <w:rPr>
          <w:sz w:val="26"/>
        </w:rPr>
        <w:t>го травматизма, общей и профессиональной заболеваемости, в повышении безопасности труда и социальной защищенности работников. Осуществление Программы создаст благоприятные предпосылки для роста рождаемости и снижения уровня смертности населения, особенно в</w:t>
      </w:r>
      <w:r>
        <w:rPr>
          <w:sz w:val="26"/>
        </w:rPr>
        <w:t xml:space="preserve"> трудоспособном возрасте.</w:t>
      </w:r>
    </w:p>
    <w:p w:rsidR="00F27F53" w:rsidRDefault="005168A8">
      <w:pPr>
        <w:spacing w:line="100" w:lineRule="atLeast"/>
        <w:jc w:val="both"/>
        <w:rPr>
          <w:b/>
          <w:sz w:val="26"/>
        </w:rPr>
      </w:pPr>
      <w:r>
        <w:rPr>
          <w:sz w:val="26"/>
        </w:rPr>
        <w:t xml:space="preserve">                   </w:t>
      </w:r>
    </w:p>
    <w:p w:rsidR="00F27F53" w:rsidRDefault="005168A8">
      <w:pPr>
        <w:spacing w:line="100" w:lineRule="atLeast"/>
        <w:jc w:val="center"/>
        <w:rPr>
          <w:sz w:val="26"/>
        </w:rPr>
      </w:pPr>
      <w:r>
        <w:rPr>
          <w:b/>
          <w:sz w:val="26"/>
        </w:rPr>
        <w:t xml:space="preserve">  VIII. Механизм реализации программы</w:t>
      </w:r>
    </w:p>
    <w:p w:rsidR="00F27F53" w:rsidRDefault="00F27F53">
      <w:pPr>
        <w:spacing w:line="100" w:lineRule="atLeast"/>
        <w:jc w:val="center"/>
        <w:rPr>
          <w:sz w:val="26"/>
        </w:rPr>
      </w:pP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Основные механизмы реализации программы: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 укрепление существующих служб охраны труда и их создание на предприятиях и в организациях муниципального образования;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  </w:t>
      </w:r>
      <w:r>
        <w:rPr>
          <w:sz w:val="26"/>
        </w:rPr>
        <w:t>заключение и выполнение коллективных договоров;</w:t>
      </w:r>
    </w:p>
    <w:p w:rsidR="00F27F53" w:rsidRDefault="005168A8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- комплексный контроль за соблюдением в </w:t>
      </w:r>
      <w:proofErr w:type="gramStart"/>
      <w:r>
        <w:rPr>
          <w:sz w:val="26"/>
        </w:rPr>
        <w:t>организациях</w:t>
      </w:r>
      <w:proofErr w:type="gramEnd"/>
      <w:r>
        <w:rPr>
          <w:sz w:val="26"/>
        </w:rPr>
        <w:t xml:space="preserve"> и на предприятиях требований трудового законодательства и законодательства по охране труда</w:t>
      </w:r>
    </w:p>
    <w:p w:rsidR="00F27F53" w:rsidRDefault="00F27F53">
      <w:pPr>
        <w:spacing w:line="100" w:lineRule="atLeast"/>
        <w:rPr>
          <w:sz w:val="26"/>
        </w:rPr>
      </w:pPr>
    </w:p>
    <w:p w:rsidR="00F27F53" w:rsidRDefault="00F27F53">
      <w:pPr>
        <w:spacing w:line="100" w:lineRule="atLeast"/>
        <w:rPr>
          <w:sz w:val="26"/>
        </w:rPr>
      </w:pPr>
    </w:p>
    <w:p w:rsidR="00F27F53" w:rsidRDefault="00F27F53">
      <w:pPr>
        <w:spacing w:line="100" w:lineRule="atLeast"/>
        <w:rPr>
          <w:sz w:val="26"/>
        </w:rPr>
      </w:pPr>
    </w:p>
    <w:p w:rsidR="00F27F53" w:rsidRDefault="005168A8">
      <w:pPr>
        <w:spacing w:line="100" w:lineRule="atLeast"/>
        <w:rPr>
          <w:sz w:val="26"/>
        </w:rPr>
      </w:pPr>
      <w:r>
        <w:rPr>
          <w:sz w:val="26"/>
        </w:rPr>
        <w:t>Управляющий делами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proofErr w:type="spellStart"/>
      <w:r>
        <w:rPr>
          <w:sz w:val="26"/>
        </w:rPr>
        <w:t>И.С.Кайлачаков</w:t>
      </w:r>
      <w:proofErr w:type="spellEnd"/>
    </w:p>
    <w:p w:rsidR="00F27F53" w:rsidRDefault="00F27F53">
      <w:pPr>
        <w:spacing w:line="100" w:lineRule="atLeast"/>
        <w:ind w:firstLine="709"/>
        <w:jc w:val="both"/>
        <w:rPr>
          <w:sz w:val="26"/>
        </w:rPr>
      </w:pPr>
    </w:p>
    <w:p w:rsidR="00F27F53" w:rsidRDefault="00F27F53">
      <w:pPr>
        <w:spacing w:line="100" w:lineRule="atLeast"/>
        <w:ind w:firstLine="709"/>
        <w:jc w:val="both"/>
        <w:rPr>
          <w:sz w:val="26"/>
        </w:rPr>
      </w:pPr>
    </w:p>
    <w:p w:rsidR="00F27F53" w:rsidRDefault="00F27F53">
      <w:pPr>
        <w:spacing w:line="100" w:lineRule="atLeast"/>
        <w:ind w:firstLine="567"/>
        <w:jc w:val="both"/>
        <w:rPr>
          <w:sz w:val="26"/>
        </w:rPr>
      </w:pPr>
    </w:p>
    <w:p w:rsidR="00F27F53" w:rsidRDefault="00F27F53">
      <w:pPr>
        <w:spacing w:line="100" w:lineRule="atLeast"/>
        <w:ind w:firstLine="567"/>
        <w:jc w:val="both"/>
        <w:rPr>
          <w:sz w:val="26"/>
        </w:rPr>
      </w:pPr>
    </w:p>
    <w:p w:rsidR="00F27F53" w:rsidRDefault="00F27F53">
      <w:pPr>
        <w:spacing w:line="100" w:lineRule="atLeast"/>
        <w:ind w:firstLine="567"/>
        <w:jc w:val="both"/>
        <w:rPr>
          <w:sz w:val="26"/>
        </w:rPr>
      </w:pPr>
    </w:p>
    <w:p w:rsidR="00F27F53" w:rsidRDefault="00F27F53">
      <w:pPr>
        <w:spacing w:line="100" w:lineRule="atLeast"/>
        <w:ind w:firstLine="567"/>
        <w:jc w:val="both"/>
        <w:rPr>
          <w:sz w:val="26"/>
        </w:rPr>
      </w:pPr>
    </w:p>
    <w:p w:rsidR="00F27F53" w:rsidRDefault="00F27F53">
      <w:pPr>
        <w:spacing w:line="100" w:lineRule="atLeast"/>
        <w:ind w:firstLine="567"/>
        <w:jc w:val="both"/>
        <w:rPr>
          <w:sz w:val="26"/>
        </w:rPr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p w:rsidR="00F27F53" w:rsidRDefault="00F27F53">
      <w:pPr>
        <w:jc w:val="right"/>
      </w:pPr>
    </w:p>
    <w:sectPr w:rsidR="00F27F53">
      <w:pgSz w:w="11906" w:h="16838"/>
      <w:pgMar w:top="1134" w:right="791" w:bottom="1134" w:left="13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2CE"/>
    <w:multiLevelType w:val="multilevel"/>
    <w:tmpl w:val="F2BA6612"/>
    <w:lvl w:ilvl="0">
      <w:start w:val="1"/>
      <w:numFmt w:val="decimal"/>
      <w:lvlText w:val="%1.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3"/>
    <w:rsid w:val="005168A8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d">
    <w:name w:val="List Paragraph"/>
    <w:basedOn w:val="a"/>
    <w:link w:val="ae"/>
    <w:pPr>
      <w:ind w:left="720"/>
    </w:pPr>
  </w:style>
  <w:style w:type="character" w:customStyle="1" w:styleId="ae">
    <w:name w:val="Абзац списка Знак"/>
    <w:basedOn w:val="1"/>
    <w:link w:val="ad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sz w:val="24"/>
    </w:rPr>
  </w:style>
  <w:style w:type="paragraph" w:customStyle="1" w:styleId="af">
    <w:name w:val="Заголовок"/>
    <w:basedOn w:val="a"/>
    <w:next w:val="aa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af6"/>
  </w:style>
  <w:style w:type="paragraph" w:styleId="af6">
    <w:name w:val="Balloon Text"/>
    <w:basedOn w:val="a"/>
    <w:link w:val="af7"/>
    <w:uiPriority w:val="99"/>
    <w:semiHidden/>
    <w:unhideWhenUsed/>
    <w:rsid w:val="005168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d">
    <w:name w:val="List Paragraph"/>
    <w:basedOn w:val="a"/>
    <w:link w:val="ae"/>
    <w:pPr>
      <w:ind w:left="720"/>
    </w:pPr>
  </w:style>
  <w:style w:type="character" w:customStyle="1" w:styleId="ae">
    <w:name w:val="Абзац списка Знак"/>
    <w:basedOn w:val="1"/>
    <w:link w:val="ad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sz w:val="24"/>
    </w:rPr>
  </w:style>
  <w:style w:type="paragraph" w:customStyle="1" w:styleId="af">
    <w:name w:val="Заголовок"/>
    <w:basedOn w:val="a"/>
    <w:next w:val="aa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af6"/>
  </w:style>
  <w:style w:type="paragraph" w:styleId="af6">
    <w:name w:val="Balloon Text"/>
    <w:basedOn w:val="a"/>
    <w:link w:val="af7"/>
    <w:uiPriority w:val="99"/>
    <w:semiHidden/>
    <w:unhideWhenUsed/>
    <w:rsid w:val="005168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2023-02-06T06:27:00Z</dcterms:created>
  <dcterms:modified xsi:type="dcterms:W3CDTF">2023-02-06T06:27:00Z</dcterms:modified>
</cp:coreProperties>
</file>