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ind/>
        <w:jc w:val="center"/>
        <w:rPr>
          <w:b w:val="1"/>
          <w:sz w:val="28"/>
        </w:rPr>
      </w:pPr>
      <w:r>
        <w:t xml:space="preserve"> </w:t>
      </w:r>
      <w:r>
        <w:rPr>
          <w:b w:val="1"/>
          <w:sz w:val="28"/>
        </w:rPr>
        <w:t>Годовой отчет о состоянии условий и охраны труда в Таштыпском районе                   за 2022 год</w:t>
      </w:r>
    </w:p>
    <w:p w14:paraId="03000000">
      <w:pPr>
        <w:spacing w:line="360" w:lineRule="auto"/>
        <w:ind/>
        <w:jc w:val="center"/>
        <w:rPr>
          <w:b w:val="1"/>
          <w:sz w:val="28"/>
        </w:rPr>
      </w:pPr>
    </w:p>
    <w:p w14:paraId="04000000">
      <w:pPr>
        <w:numPr>
          <w:ilvl w:val="0"/>
          <w:numId w:val="1"/>
        </w:numPr>
        <w:spacing w:line="360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>Структура государственного управления охраной труда в муниципальном образовании.</w:t>
      </w:r>
    </w:p>
    <w:p w14:paraId="05000000">
      <w:pPr>
        <w:spacing w:line="360" w:lineRule="auto"/>
        <w:ind/>
        <w:jc w:val="both"/>
        <w:rPr>
          <w:b w:val="1"/>
          <w:sz w:val="26"/>
        </w:rPr>
      </w:pPr>
    </w:p>
    <w:p w14:paraId="06000000">
      <w:pPr>
        <w:spacing w:line="360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>1.1 Органы управления охраной труда</w:t>
      </w:r>
    </w:p>
    <w:p w14:paraId="07000000">
      <w:pPr>
        <w:spacing w:line="360" w:lineRule="auto"/>
        <w:ind/>
        <w:jc w:val="both"/>
      </w:pPr>
      <w:r>
        <w:rPr>
          <w:b w:val="1"/>
          <w:sz w:val="26"/>
        </w:rPr>
        <w:t xml:space="preserve"> </w:t>
      </w:r>
      <w:r>
        <w:rPr>
          <w:b w:val="0"/>
          <w:sz w:val="26"/>
        </w:rPr>
        <w:t>Работа в области охраны труда на территории Таштыпского района проводится с действующим законом Республики Хакасия от 21.02.2006 г. № 1-ЗРХ «Об охране труда в Республике Хакасия» (с изменениями и дополнениями), Законом Республики Хакасия от 27.09.2007г. № 60-ЗРХ «О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труда» (с изменениями и дополнениями), Трудового кодекса РФ, муниципальной программы «Улучшение условий охраны труда в Таштыпском районе».</w:t>
      </w:r>
    </w:p>
    <w:p w14:paraId="08000000">
      <w:pPr>
        <w:spacing w:line="360" w:lineRule="auto"/>
        <w:ind/>
        <w:jc w:val="both"/>
      </w:pPr>
    </w:p>
    <w:p w14:paraId="09000000">
      <w:pPr>
        <w:spacing w:line="360" w:lineRule="auto"/>
        <w:ind/>
        <w:jc w:val="both"/>
        <w:rPr>
          <w:b w:val="0"/>
          <w:sz w:val="26"/>
        </w:rPr>
      </w:pPr>
      <w:r>
        <w:rPr>
          <w:b w:val="1"/>
          <w:sz w:val="26"/>
        </w:rPr>
        <w:t>1.2 Нормативно-правовые акты в области охраны, включая разработку и реализацию муниципальной программы по охране труда</w:t>
      </w:r>
    </w:p>
    <w:p w14:paraId="0A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>1. Постановление Администрации Таштыпского района от 11.04.2022г. №159 «О внесении изменений в постановление Администрации Таштыпского района от 18.04.2016г. №176 «О принятии муниципальной программы «Улучшение условий охраны труда в Таштыпском районе» с последующими изменениями от 04.03.2019г. № 98, 02.07.2019г. № 293, 27.02.2020г. № 104», 31.03.2021 №138.</w:t>
      </w:r>
    </w:p>
    <w:p w14:paraId="0B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>2. Постановление Администрации Таштыпского района от 15.04.2022г. №169 «Об организации и проведении конкурса рисунков, плакатов среди учащихся дошкольных и средних общеобразовательных учреждений Таштыпского района «Я за безопасный труд».</w:t>
      </w:r>
    </w:p>
    <w:p w14:paraId="0C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>3. Распоряжение Администрации Таштыпского района от 22.06.2022г. № 75«Об организации работы по управлению профессиональными рисками».</w:t>
      </w:r>
    </w:p>
    <w:p w14:paraId="0D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>4. Постановление Администрации Таштыпского района от 28.12.2022 №569 «О внесении изменений в постановление  Администрации Таштыпского района от 27.06.2019г.№287 «О создании межведомственной комиссии по вопросам осуществления контроля за полнотой и своевременностью уплаты заработной платы, легализации «теневой» заработной платы.</w:t>
      </w:r>
    </w:p>
    <w:p w14:paraId="0E000000">
      <w:pPr>
        <w:spacing w:line="360" w:lineRule="auto"/>
        <w:ind/>
        <w:jc w:val="both"/>
        <w:rPr>
          <w:b w:val="0"/>
          <w:sz w:val="26"/>
        </w:rPr>
      </w:pPr>
    </w:p>
    <w:p w14:paraId="0F000000">
      <w:pPr>
        <w:spacing w:line="360" w:lineRule="auto"/>
        <w:ind/>
        <w:jc w:val="both"/>
        <w:rPr>
          <w:b w:val="0"/>
          <w:sz w:val="26"/>
        </w:rPr>
      </w:pPr>
    </w:p>
    <w:p w14:paraId="10000000">
      <w:pPr>
        <w:spacing w:line="360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>2.Анализ состояния условий труда</w:t>
      </w:r>
    </w:p>
    <w:p w14:paraId="11000000">
      <w:pPr>
        <w:spacing w:line="360" w:lineRule="auto"/>
        <w:ind/>
        <w:jc w:val="both"/>
        <w:rPr>
          <w:b w:val="1"/>
          <w:sz w:val="26"/>
        </w:rPr>
      </w:pPr>
    </w:p>
    <w:p w14:paraId="12000000">
      <w:pPr>
        <w:spacing w:line="360" w:lineRule="auto"/>
        <w:ind/>
        <w:jc w:val="both"/>
        <w:rPr>
          <w:b w:val="0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>2.1 Характеристика условий труда в муниципальном образовании</w:t>
      </w:r>
    </w:p>
    <w:p w14:paraId="13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>В целом за 2022 год состояние охраны труда в организациях и учреждениях, расположенных на территории Таштыпского района удовлетворительное. В 2022 году деятельность Администрации района, предприятий, организаций всех форм собственности была направлена на улучшение  условий охраны труда, снижение производственного травматизма и профессиональной заболеваемости.</w:t>
      </w:r>
    </w:p>
    <w:p w14:paraId="14000000">
      <w:pPr>
        <w:spacing w:line="360" w:lineRule="auto"/>
        <w:ind/>
        <w:jc w:val="both"/>
        <w:rPr>
          <w:b w:val="0"/>
          <w:sz w:val="26"/>
        </w:rPr>
      </w:pPr>
    </w:p>
    <w:p w14:paraId="15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 </w:t>
      </w:r>
      <w:r>
        <w:rPr>
          <w:b w:val="1"/>
          <w:sz w:val="26"/>
        </w:rPr>
        <w:t>2.2 Гарантии и компенсации за работу с вредными и (или) опасными условиями труда</w:t>
      </w:r>
    </w:p>
    <w:p w14:paraId="16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>На данный момент данных по гарантиям и компенсациям за работу с вредными и (или) опасными условиями труда нет. Данная информация будет представлена в годовом отчете организаций и учреждений за 2022 год.</w:t>
      </w:r>
    </w:p>
    <w:p w14:paraId="17000000">
      <w:pPr>
        <w:spacing w:line="360" w:lineRule="auto"/>
        <w:ind/>
        <w:jc w:val="both"/>
        <w:rPr>
          <w:b w:val="0"/>
          <w:sz w:val="26"/>
        </w:rPr>
      </w:pPr>
    </w:p>
    <w:p w14:paraId="18000000">
      <w:pPr>
        <w:spacing w:line="360" w:lineRule="auto"/>
        <w:ind/>
        <w:jc w:val="both"/>
        <w:rPr>
          <w:b w:val="0"/>
          <w:sz w:val="26"/>
        </w:rPr>
      </w:pPr>
      <w:r>
        <w:rPr>
          <w:b w:val="1"/>
          <w:sz w:val="26"/>
        </w:rPr>
        <w:t>2.3 Анализ случаев производственного травматизма и профзаболеваемости</w:t>
      </w:r>
    </w:p>
    <w:p w14:paraId="19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1.За отчетный период на территории Таштыпского района  случаев производственного травматизма не зарегистрировано. </w:t>
      </w:r>
    </w:p>
    <w:p w14:paraId="1A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>2. Профессиональных заболеваний на территории района не зарегистрировано.</w:t>
      </w:r>
    </w:p>
    <w:p w14:paraId="1B000000">
      <w:pPr>
        <w:spacing w:line="360" w:lineRule="auto"/>
        <w:ind/>
        <w:jc w:val="both"/>
        <w:rPr>
          <w:b w:val="0"/>
          <w:sz w:val="26"/>
        </w:rPr>
      </w:pPr>
    </w:p>
    <w:p w14:paraId="1C000000">
      <w:pPr>
        <w:spacing w:line="360" w:lineRule="auto"/>
        <w:ind/>
        <w:jc w:val="both"/>
        <w:rPr>
          <w:b w:val="0"/>
          <w:sz w:val="26"/>
        </w:rPr>
      </w:pPr>
      <w:r>
        <w:rPr>
          <w:b w:val="1"/>
          <w:sz w:val="26"/>
        </w:rPr>
        <w:t>3.Общественный контроль и социальное партнерство в сфере охраны труда</w:t>
      </w:r>
    </w:p>
    <w:p w14:paraId="1D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1. В соответствии с Законом РХ от 26.02.2006г. №7-ЗРХ «О социальном партнерстве», в Таштыпском районе действует территориальное трехстороннее соглашение между Администрацией Таштыпского района, профсоюзами и работодателями на 2021-2023 годы. </w:t>
      </w:r>
    </w:p>
    <w:p w14:paraId="1E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>2. Общественный контроль в сфере охраны труда проводится профсоюзами. На территории района действуют Профсоюз работников образования, Профсоюз работников культуры, Профсоюз работников ГБУЗ РХ «Таштыпская районная больница».</w:t>
      </w:r>
    </w:p>
    <w:p w14:paraId="1F000000">
      <w:pPr>
        <w:spacing w:line="360" w:lineRule="auto"/>
        <w:ind/>
        <w:jc w:val="both"/>
        <w:rPr>
          <w:b w:val="0"/>
          <w:sz w:val="26"/>
        </w:rPr>
      </w:pPr>
    </w:p>
    <w:p w14:paraId="20000000">
      <w:pPr>
        <w:spacing w:line="360" w:lineRule="auto"/>
        <w:ind/>
        <w:jc w:val="both"/>
        <w:rPr>
          <w:b w:val="0"/>
          <w:sz w:val="26"/>
        </w:rPr>
      </w:pPr>
      <w:r>
        <w:rPr>
          <w:b w:val="1"/>
          <w:sz w:val="26"/>
        </w:rPr>
        <w:t>4. Реализация полномочий в области охраны труда, которыми наделяются органы местного самоуправления в соответствии с Законом Республики Хакасия от 27.09.2007 №60-ЗРХ «О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труда»</w:t>
      </w:r>
    </w:p>
    <w:p w14:paraId="21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>1. Действует муниципальная программа «Улучшение условий охраны труда в Таштыпском районе». На 2022г. было запланировано 10 000 рублей . В конце года данные средства были сняты с финансирования.</w:t>
      </w:r>
    </w:p>
    <w:p w14:paraId="22000000">
      <w:pPr>
        <w:numPr>
          <w:ilvl w:val="0"/>
          <w:numId w:val="1"/>
        </w:numPr>
        <w:spacing w:line="360" w:lineRule="auto"/>
        <w:ind/>
        <w:jc w:val="both"/>
      </w:pPr>
      <w:r>
        <w:rPr>
          <w:b w:val="0"/>
          <w:sz w:val="26"/>
        </w:rPr>
        <w:t xml:space="preserve">Специалистом ведется работа по уведомительной регистрации коллективных договоров и территориальных соглашений. За 2022г. зарегистрировано: 8 коллективных договора: 1 квартал- </w:t>
      </w:r>
      <w:r>
        <w:rPr>
          <w:b w:val="0"/>
          <w:sz w:val="26"/>
        </w:rPr>
        <w:t>МБОУ «Анчулская начальная общеобразовательная школа»</w:t>
      </w:r>
      <w:r>
        <w:rPr>
          <w:b w:val="0"/>
          <w:sz w:val="26"/>
        </w:rPr>
        <w:t xml:space="preserve">, 2 квартал- </w:t>
      </w:r>
      <w:r>
        <w:rPr>
          <w:b w:val="0"/>
          <w:sz w:val="26"/>
        </w:rPr>
        <w:t>МБДО детский сад «Колокольчик</w:t>
      </w:r>
      <w:r>
        <w:rPr>
          <w:b w:val="0"/>
          <w:sz w:val="26"/>
        </w:rPr>
        <w:t xml:space="preserve">», </w:t>
      </w:r>
      <w:r>
        <w:rPr>
          <w:b w:val="0"/>
          <w:sz w:val="26"/>
        </w:rPr>
        <w:t xml:space="preserve">МКУ «Управление образования  Таштыпского района», Общество с ограниченной ответственностью «Таштыпский хлебокомбинат», </w:t>
      </w:r>
      <w:r>
        <w:rPr>
          <w:b w:val="0"/>
          <w:sz w:val="26"/>
        </w:rPr>
        <w:t xml:space="preserve">3 квартал- МБДОУ детский сад «Солнышко»;  4 квартал- </w:t>
      </w:r>
      <w:r>
        <w:rPr>
          <w:b w:val="0"/>
          <w:sz w:val="26"/>
        </w:rPr>
        <w:t>МБДО детский сад «Колокольчик</w:t>
      </w:r>
      <w:r>
        <w:rPr>
          <w:b w:val="0"/>
          <w:sz w:val="26"/>
        </w:rPr>
        <w:t>»,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МУП «Таштыпская автоколонна»,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МБОУ Малоарбатская СОШ, МБОУ «Нижнесирская ООШ»</w:t>
      </w:r>
      <w:r>
        <w:rPr>
          <w:b w:val="0"/>
          <w:sz w:val="26"/>
        </w:rPr>
        <w:t xml:space="preserve"> . и 10 дополнительных соглашений к коллективному договору. Информация по заключению коллективных договоров выкладывалась на официальном сайте Администрации, направлялись информационные письма работодателям, информационные буклеты находятся на стенде на 2-м этаже.</w:t>
      </w:r>
    </w:p>
    <w:p w14:paraId="23000000">
      <w:pPr>
        <w:spacing w:line="360" w:lineRule="auto"/>
        <w:ind/>
        <w:jc w:val="both"/>
        <w:rPr>
          <w:sz w:val="26"/>
        </w:rPr>
      </w:pPr>
      <w:r>
        <w:t xml:space="preserve">3. </w:t>
      </w:r>
      <w:r>
        <w:rPr>
          <w:sz w:val="26"/>
        </w:rPr>
        <w:t>Специалистом осуществляется в установленном порядке и в соответствии с законом сбор и обработка информации о состоянии условий и охраны труда у работодателей, осуществляющих деятельность на территории района.</w:t>
      </w:r>
    </w:p>
    <w:p w14:paraId="24000000">
      <w:pPr>
        <w:spacing w:line="360" w:lineRule="auto"/>
        <w:ind/>
        <w:jc w:val="both"/>
        <w:rPr>
          <w:sz w:val="26"/>
        </w:rPr>
      </w:pPr>
      <w:r>
        <w:rPr>
          <w:sz w:val="26"/>
        </w:rPr>
        <w:t>4. Специалистом проводилось посещение организаций с целью сбора информации по охране труда и оказание консультативной помощи в заполнении форм отчетности. В 2022г. посещение осуществлялось на основании постановления Администрации Таштыпского района от 03.02.2022г. №26«Об утверждении состава рабочей группы для проведения мониторинга объектов потребительского рынка в Таштыпском районе». В 1-м квартале ИП Т.Д.Твердохлеб магазин «Флора», во 2-м квартале МБУ «Таштыпская спортивная школа», в 3-м квартале ИП Сарагашев АА. магазин  «Петрович», в 4-м квартале ИП Кандрашкина И.В магазин «Стиль», ИП Кутузов А.О магазин «Подарки», Сухоедова Н.Ю ООО Агроторг магазин «Пятерочка», Космынин Н.И магазин «Автозапчасти».</w:t>
      </w:r>
    </w:p>
    <w:p w14:paraId="25000000">
      <w:pPr>
        <w:spacing w:line="360" w:lineRule="auto"/>
        <w:ind/>
        <w:jc w:val="both"/>
        <w:rPr>
          <w:sz w:val="26"/>
        </w:rPr>
      </w:pPr>
    </w:p>
    <w:p w14:paraId="26000000">
      <w:pPr>
        <w:spacing w:line="360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>5. Оказание специалистами по охране труда консультативной и методической помощи работникам и работодателям муниципального образования</w:t>
      </w:r>
    </w:p>
    <w:p w14:paraId="27000000">
      <w:pPr>
        <w:spacing w:line="360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0"/>
          <w:sz w:val="26"/>
        </w:rPr>
        <w:t>Специалистом в рамках работы с обращениями граждан, ведется оказание консультативной и методической помощи по вопросам коллективных договоров, трудовых договоров, специальной оценки условий труда, электронных трудовых книжек и другим вопросам. За прошедший год оказано 8 консультаций заинтересованным лицам.</w:t>
      </w:r>
    </w:p>
    <w:p w14:paraId="28000000">
      <w:pPr>
        <w:spacing w:line="360" w:lineRule="auto"/>
        <w:ind/>
        <w:jc w:val="both"/>
        <w:rPr>
          <w:b w:val="1"/>
          <w:sz w:val="26"/>
        </w:rPr>
      </w:pPr>
    </w:p>
    <w:p w14:paraId="29000000">
      <w:pPr>
        <w:spacing w:line="360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>6. Организация обучения руководителей и работников по охране труда</w:t>
      </w:r>
    </w:p>
    <w:p w14:paraId="2A000000">
      <w:pPr>
        <w:spacing w:line="360" w:lineRule="auto"/>
        <w:ind/>
        <w:jc w:val="both"/>
        <w:rPr>
          <w:b w:val="0"/>
          <w:sz w:val="26"/>
        </w:rPr>
      </w:pPr>
      <w:r>
        <w:rPr>
          <w:b w:val="1"/>
          <w:sz w:val="26"/>
        </w:rPr>
        <w:t xml:space="preserve"> </w:t>
      </w:r>
      <w:r>
        <w:rPr>
          <w:b w:val="0"/>
          <w:sz w:val="26"/>
        </w:rPr>
        <w:t>Обучение по охране труда и пожарно-техническому минимуму прошли 10 человек. Обучение проходило заочно-дистанционно. Вся необходимая информация выкладывалась на официальном сайте Администрации.</w:t>
      </w:r>
    </w:p>
    <w:p w14:paraId="2B000000">
      <w:pPr>
        <w:spacing w:line="360" w:lineRule="auto"/>
        <w:ind/>
        <w:jc w:val="both"/>
        <w:rPr>
          <w:b w:val="1"/>
          <w:sz w:val="26"/>
        </w:rPr>
      </w:pPr>
      <w:r>
        <w:rPr>
          <w:b w:val="0"/>
          <w:sz w:val="26"/>
        </w:rPr>
        <w:t xml:space="preserve"> </w:t>
      </w:r>
    </w:p>
    <w:p w14:paraId="2C000000">
      <w:pPr>
        <w:spacing w:line="360" w:lineRule="auto"/>
        <w:ind/>
        <w:jc w:val="both"/>
        <w:rPr>
          <w:b w:val="0"/>
          <w:sz w:val="26"/>
        </w:rPr>
      </w:pPr>
      <w:r>
        <w:rPr>
          <w:b w:val="1"/>
          <w:sz w:val="26"/>
        </w:rPr>
        <w:t>7.Специальная оценка условий труда</w:t>
      </w:r>
    </w:p>
    <w:p w14:paraId="2D000000">
      <w:pPr>
        <w:spacing w:line="360" w:lineRule="auto"/>
        <w:ind/>
        <w:jc w:val="both"/>
      </w:pPr>
      <w:r>
        <w:rPr>
          <w:b w:val="0"/>
          <w:sz w:val="26"/>
        </w:rPr>
        <w:t>Вся необходимая информация о действии от 28.12.2013г. №426-ФЗ «О специальной оценке условий труда» выложена на официальном сайте. На данный момент все муниципальные и бюджетные организации и учреждения района провели СОУТ. Полная информация будет представлена в годовом отчете работодателей.</w:t>
      </w:r>
    </w:p>
    <w:p w14:paraId="2E000000">
      <w:pPr>
        <w:spacing w:line="360" w:lineRule="auto"/>
        <w:ind/>
        <w:jc w:val="both"/>
      </w:pPr>
    </w:p>
    <w:p w14:paraId="2F000000">
      <w:pPr>
        <w:spacing w:line="360" w:lineRule="auto"/>
        <w:ind/>
        <w:jc w:val="both"/>
        <w:rPr>
          <w:b w:val="0"/>
          <w:sz w:val="26"/>
        </w:rPr>
      </w:pPr>
      <w:r>
        <w:rPr>
          <w:b w:val="1"/>
          <w:sz w:val="26"/>
        </w:rPr>
        <w:t>8.Передовой, инновационный опыт организаций и индивидуальных предпринимателей в сфере охраны труда</w:t>
      </w:r>
    </w:p>
    <w:p w14:paraId="30000000">
      <w:pPr>
        <w:spacing w:line="360" w:lineRule="auto"/>
        <w:ind/>
        <w:jc w:val="both"/>
        <w:rPr>
          <w:b w:val="0"/>
        </w:rPr>
      </w:pPr>
      <w:r>
        <w:rPr>
          <w:b w:val="0"/>
          <w:sz w:val="26"/>
        </w:rPr>
        <w:t xml:space="preserve"> </w:t>
      </w:r>
      <w:r>
        <w:rPr>
          <w:b w:val="0"/>
          <w:sz w:val="26"/>
        </w:rPr>
        <w:t>У специалиста за 2022г. отсутствует информация по передовому и инновационному опыту организаций и индивидуальных предпринимателей в сфере охраны труда.</w:t>
      </w:r>
    </w:p>
    <w:p w14:paraId="31000000">
      <w:pPr>
        <w:spacing w:line="360" w:lineRule="auto"/>
        <w:ind/>
        <w:jc w:val="both"/>
        <w:rPr>
          <w:b w:val="0"/>
        </w:rPr>
      </w:pPr>
    </w:p>
    <w:p w14:paraId="32000000">
      <w:pPr>
        <w:spacing w:line="360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>9. Пропаганда здорового и безопасного труда (информационные акции, выступления и публикации в СМИ, смотры-конкурсы, совещания и т.п.)</w:t>
      </w:r>
    </w:p>
    <w:p w14:paraId="33000000">
      <w:pPr>
        <w:spacing w:line="360" w:lineRule="auto"/>
        <w:ind/>
        <w:jc w:val="both"/>
        <w:rPr>
          <w:b w:val="0"/>
          <w:sz w:val="26"/>
        </w:rPr>
      </w:pPr>
      <w:r>
        <w:rPr>
          <w:b w:val="1"/>
          <w:sz w:val="26"/>
        </w:rPr>
        <w:t xml:space="preserve"> 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1. В рамках проведения мероприятий, посвященных Всемирному дню охраны труда, работодателям были направлены письма о проведении дней охраны труда. Также данная информация выкладывалась на официальном сайте Администрации. Работодателями района в своих учреждениях и организациях были проведены профилактические беседы с работниками по вопросам охраны труда и оказания первой помощи, проведение инструктажей по охране труда, пересмотр инструкций по охране труда, наполнение информацией уголков по охране труда, собрания в трудовых коллективах о выполнении разделов коллективного договора и нормативно правовых актов по охране труда.</w:t>
      </w:r>
    </w:p>
    <w:p w14:paraId="34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 </w:t>
      </w:r>
      <w:r>
        <w:rPr>
          <w:b w:val="0"/>
          <w:sz w:val="26"/>
        </w:rPr>
        <w:t>2. В целях формирования у подрастающего поколения внимательного отношения к вопросам безопасности труда и сохранения жизни и здоровья в процессе учебно-трудовой деятельности, привлечения внимания общественности к проблемам обеспечения безопасных условий труда и повышению культуры охраны труда выпускников, а также в рамках празднования Всемирного дня охраны труда, был проведен муниципальный конкурс рисунков, плакатов среди учащихся дошкольных и средних общеобразовательных учреждений Таштыпского района «Я за безопасный труд». Членами конкурсной комиссии были определены победители в одной возрастной категории: учащиеся и воспитанники образовательных организаций в возрасте от 5 до 14 лет (включительно). Все победители награждены грамотами и подарками.</w:t>
      </w:r>
    </w:p>
    <w:p w14:paraId="35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 </w:t>
      </w:r>
      <w:r>
        <w:rPr>
          <w:b w:val="0"/>
          <w:sz w:val="26"/>
        </w:rPr>
        <w:t>3. В рамках мероприятий посвященных Всемирному дню охраны труда была проведена викторина «Безопасный труд-право каждого человека» для студентов ГБПОУ РХ «Профессиональное училище № 16». По результатам данной викторины студенты показали хорошие знания по охране труда, пожарной безопасности и оказанию первой помощи пострадавшим. В завершении викторины обе команды получили сувениры, сладкие призы. Для коллектива  МБДОУ детского сада «Рябинушка», была организована викторина-игра «Лучшие знатоки по охране труда».</w:t>
      </w:r>
    </w:p>
    <w:p w14:paraId="36000000">
      <w:pPr>
        <w:spacing w:line="360" w:lineRule="auto"/>
        <w:ind/>
        <w:jc w:val="both"/>
        <w:rPr>
          <w:b w:val="0"/>
          <w:sz w:val="26"/>
        </w:rPr>
      </w:pPr>
      <w:r>
        <w:rPr>
          <w:b w:val="0"/>
          <w:sz w:val="26"/>
        </w:rPr>
        <w:t xml:space="preserve"> </w:t>
      </w:r>
      <w:r>
        <w:rPr>
          <w:b w:val="0"/>
          <w:sz w:val="26"/>
        </w:rPr>
        <w:t>4. За 2022г. специалист 2 раза принимала участие в заседании «Координационного комитета содействия занятости населения Таштыпского района». В 1-м квартале (22.03.2022г.) с выступлением на тему: «Новые правила по охране труда в 2022 году», в 4-м квартале (18.11.2022г.) с выступлением на тему: « Об основных изменениях касающихся охраны труда и вступающих в силу с 1 сентября 2022 года». Также на Координационных комитетах озвучивалась информация работодателям о возможности использования в своей работе сайта Федеральной службы по труду и занятости.</w:t>
      </w:r>
    </w:p>
    <w:p w14:paraId="37000000">
      <w:pPr>
        <w:spacing w:line="360" w:lineRule="auto"/>
        <w:ind/>
        <w:jc w:val="both"/>
      </w:pPr>
      <w:r>
        <w:rPr>
          <w:b w:val="0"/>
          <w:sz w:val="26"/>
        </w:rPr>
        <w:t xml:space="preserve"> </w:t>
      </w:r>
      <w:r>
        <w:rPr>
          <w:b w:val="0"/>
          <w:sz w:val="26"/>
        </w:rPr>
        <w:t>5. В целях пропаганды здорового  и безопасного труда информация публиковалась на официальном сайте (4 публикаций), в газете «Земля таштыпская» (1 публикация). Работодателям района направлялись информационные письма, стенд расположенный в кабинете специалиста постоянно пополняется новой информацией.</w:t>
      </w:r>
    </w:p>
    <w:p w14:paraId="38000000">
      <w:pPr>
        <w:spacing w:line="360" w:lineRule="auto"/>
        <w:ind/>
        <w:jc w:val="both"/>
      </w:pPr>
    </w:p>
    <w:p w14:paraId="39000000">
      <w:pPr>
        <w:spacing w:line="360" w:lineRule="auto"/>
        <w:ind/>
        <w:jc w:val="both"/>
      </w:pPr>
    </w:p>
    <w:p w14:paraId="3A000000">
      <w:pPr>
        <w:spacing w:line="360" w:lineRule="auto"/>
        <w:ind/>
        <w:jc w:val="both"/>
      </w:pPr>
    </w:p>
    <w:p w14:paraId="3B000000">
      <w:pPr>
        <w:spacing w:line="200" w:lineRule="atLeast"/>
        <w:ind/>
        <w:jc w:val="both"/>
        <w:rPr>
          <w:b w:val="0"/>
          <w:sz w:val="26"/>
        </w:rPr>
      </w:pPr>
      <w:r>
        <w:rPr>
          <w:b w:val="0"/>
          <w:sz w:val="26"/>
        </w:rPr>
        <w:t>Ведущий специалист</w:t>
      </w:r>
    </w:p>
    <w:p w14:paraId="3C000000">
      <w:pPr>
        <w:spacing w:line="200" w:lineRule="atLeast"/>
        <w:ind/>
        <w:jc w:val="both"/>
        <w:rPr>
          <w:b w:val="0"/>
          <w:sz w:val="26"/>
        </w:rPr>
      </w:pPr>
      <w:r>
        <w:rPr>
          <w:b w:val="0"/>
          <w:sz w:val="26"/>
        </w:rPr>
        <w:t>по охране труда                                                                                                Н.В.Гордеева</w:t>
      </w:r>
    </w:p>
    <w:sectPr>
      <w:pgSz w:h="16838" w:orient="portrait" w:w="11906"/>
      <w:pgMar w:bottom="1134" w:footer="708" w:header="708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1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WW8Num2z7"/>
    <w:link w:val="Style_3_ch"/>
  </w:style>
  <w:style w:styleId="Style_3_ch" w:type="character">
    <w:name w:val="WW8Num2z7"/>
    <w:link w:val="Style_3"/>
  </w:style>
  <w:style w:styleId="Style_4" w:type="paragraph">
    <w:name w:val="List"/>
    <w:basedOn w:val="Style_5"/>
    <w:link w:val="Style_4_ch"/>
  </w:style>
  <w:style w:styleId="Style_4_ch" w:type="character">
    <w:name w:val="List"/>
    <w:basedOn w:val="Style_5_ch"/>
    <w:link w:val="Style_4"/>
  </w:style>
  <w:style w:styleId="Style_6" w:type="paragraph">
    <w:name w:val="Символ нумерации"/>
    <w:link w:val="Style_6_ch"/>
  </w:style>
  <w:style w:styleId="Style_6_ch" w:type="character">
    <w:name w:val="Символ нумерации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Содержимое таблицы"/>
    <w:basedOn w:val="Style_1"/>
    <w:link w:val="Style_8_ch"/>
  </w:style>
  <w:style w:styleId="Style_8_ch" w:type="character">
    <w:name w:val="Содержимое таблицы"/>
    <w:basedOn w:val="Style_1_ch"/>
    <w:link w:val="Style_8"/>
  </w:style>
  <w:style w:styleId="Style_9" w:type="paragraph">
    <w:name w:val="Название"/>
    <w:basedOn w:val="Style_1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Название"/>
    <w:basedOn w:val="Style_1_ch"/>
    <w:link w:val="Style_9"/>
    <w:rPr>
      <w:i w:val="1"/>
      <w:sz w:val="24"/>
    </w:rPr>
  </w:style>
  <w:style w:styleId="Style_10" w:type="paragraph">
    <w:name w:val="toc 6"/>
    <w:next w:val="Style_1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WW8Num1z5"/>
    <w:link w:val="Style_11_ch"/>
  </w:style>
  <w:style w:styleId="Style_11_ch" w:type="character">
    <w:name w:val="WW8Num1z5"/>
    <w:link w:val="Style_11"/>
  </w:style>
  <w:style w:styleId="Style_12" w:type="paragraph">
    <w:name w:val="toc 7"/>
    <w:next w:val="Style_1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Указатель"/>
    <w:basedOn w:val="Style_1"/>
    <w:link w:val="Style_13_ch"/>
  </w:style>
  <w:style w:styleId="Style_13_ch" w:type="character">
    <w:name w:val="Указатель"/>
    <w:basedOn w:val="Style_1_ch"/>
    <w:link w:val="Style_13"/>
  </w:style>
  <w:style w:styleId="Style_14" w:type="paragraph">
    <w:name w:val="heading 3"/>
    <w:next w:val="Style_1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WW8Num1z0"/>
    <w:link w:val="Style_15_ch"/>
    <w:rPr>
      <w:b w:val="1"/>
    </w:rPr>
  </w:style>
  <w:style w:styleId="Style_15_ch" w:type="character">
    <w:name w:val="WW8Num1z0"/>
    <w:link w:val="Style_15"/>
    <w:rPr>
      <w:b w:val="1"/>
    </w:rPr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WW8Num2z8"/>
    <w:link w:val="Style_17_ch"/>
  </w:style>
  <w:style w:styleId="Style_17_ch" w:type="character">
    <w:name w:val="WW8Num2z8"/>
    <w:link w:val="Style_17"/>
  </w:style>
  <w:style w:styleId="Style_18" w:type="paragraph">
    <w:name w:val="Заголовок"/>
    <w:basedOn w:val="Style_1"/>
    <w:next w:val="Style_5"/>
    <w:link w:val="Style_18_ch"/>
    <w:pPr>
      <w:keepNext w:val="1"/>
      <w:spacing w:after="120" w:before="240"/>
      <w:ind/>
    </w:pPr>
    <w:rPr>
      <w:rFonts w:ascii="Arial" w:hAnsi="Arial"/>
      <w:sz w:val="28"/>
    </w:rPr>
  </w:style>
  <w:style w:styleId="Style_18_ch" w:type="character">
    <w:name w:val="Заголовок"/>
    <w:basedOn w:val="Style_1_ch"/>
    <w:link w:val="Style_18"/>
    <w:rPr>
      <w:rFonts w:ascii="Arial" w:hAnsi="Arial"/>
      <w:sz w:val="28"/>
    </w:rPr>
  </w:style>
  <w:style w:styleId="Style_19" w:type="paragraph">
    <w:name w:val="WW8Num2z2"/>
    <w:link w:val="Style_19_ch"/>
  </w:style>
  <w:style w:styleId="Style_19_ch" w:type="character">
    <w:name w:val="WW8Num2z2"/>
    <w:link w:val="Style_19"/>
  </w:style>
  <w:style w:styleId="Style_20" w:type="paragraph">
    <w:name w:val="toc 3"/>
    <w:next w:val="Style_1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WW8Num2z6"/>
    <w:link w:val="Style_22_ch"/>
  </w:style>
  <w:style w:styleId="Style_22_ch" w:type="character">
    <w:name w:val="WW8Num2z6"/>
    <w:link w:val="Style_22"/>
  </w:style>
  <w:style w:styleId="Style_23" w:type="paragraph">
    <w:name w:val="heading 5"/>
    <w:next w:val="Style_1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WW8Num1z6"/>
    <w:link w:val="Style_24_ch"/>
  </w:style>
  <w:style w:styleId="Style_24_ch" w:type="character">
    <w:name w:val="WW8Num1z6"/>
    <w:link w:val="Style_24"/>
  </w:style>
  <w:style w:styleId="Style_25" w:type="paragraph">
    <w:name w:val="WW8Num1z3"/>
    <w:link w:val="Style_25_ch"/>
  </w:style>
  <w:style w:styleId="Style_25_ch" w:type="character">
    <w:name w:val="WW8Num1z3"/>
    <w:link w:val="Style_25"/>
  </w:style>
  <w:style w:styleId="Style_26" w:type="paragraph">
    <w:name w:val="heading 1"/>
    <w:next w:val="Style_1"/>
    <w:link w:val="Style_2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WW8Num2z0"/>
    <w:link w:val="Style_27_ch"/>
    <w:rPr>
      <w:b w:val="1"/>
    </w:rPr>
  </w:style>
  <w:style w:styleId="Style_27_ch" w:type="character">
    <w:name w:val="WW8Num2z0"/>
    <w:link w:val="Style_27"/>
    <w:rPr>
      <w:b w:val="1"/>
    </w:rPr>
  </w:style>
  <w:style w:styleId="Style_28" w:type="paragraph">
    <w:name w:val="Hyperlink"/>
    <w:link w:val="Style_28_ch"/>
    <w:rPr>
      <w:color w:val="000080"/>
      <w:u w:val="single"/>
    </w:rPr>
  </w:style>
  <w:style w:styleId="Style_28_ch" w:type="character">
    <w:name w:val="Hyperlink"/>
    <w:link w:val="Style_28"/>
    <w:rPr>
      <w:color w:val="000080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5" w:type="paragraph">
    <w:name w:val="Body Text"/>
    <w:basedOn w:val="Style_1"/>
    <w:link w:val="Style_5_ch"/>
    <w:pPr>
      <w:spacing w:after="120" w:before="0"/>
      <w:ind/>
    </w:pPr>
  </w:style>
  <w:style w:styleId="Style_5_ch" w:type="character">
    <w:name w:val="Body Text"/>
    <w:basedOn w:val="Style_1_ch"/>
    <w:link w:val="Style_5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1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WW8Num1z8"/>
    <w:link w:val="Style_33_ch"/>
  </w:style>
  <w:style w:styleId="Style_33_ch" w:type="character">
    <w:name w:val="WW8Num1z8"/>
    <w:link w:val="Style_33"/>
  </w:style>
  <w:style w:styleId="Style_34" w:type="paragraph">
    <w:name w:val="toc 8"/>
    <w:next w:val="Style_1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1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WW8Num1z7"/>
    <w:link w:val="Style_36_ch"/>
  </w:style>
  <w:style w:styleId="Style_36_ch" w:type="character">
    <w:name w:val="WW8Num1z7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WW8Num2z3"/>
    <w:link w:val="Style_38_ch"/>
  </w:style>
  <w:style w:styleId="Style_38_ch" w:type="character">
    <w:name w:val="WW8Num2z3"/>
    <w:link w:val="Style_38"/>
  </w:style>
  <w:style w:styleId="Style_39" w:type="paragraph">
    <w:name w:val="Subtitle"/>
    <w:next w:val="Style_1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WW8Num2z4"/>
    <w:link w:val="Style_40_ch"/>
  </w:style>
  <w:style w:styleId="Style_40_ch" w:type="character">
    <w:name w:val="WW8Num2z4"/>
    <w:link w:val="Style_40"/>
  </w:style>
  <w:style w:styleId="Style_41" w:type="paragraph">
    <w:name w:val="WW8Num1z1"/>
    <w:link w:val="Style_41_ch"/>
  </w:style>
  <w:style w:styleId="Style_41_ch" w:type="character">
    <w:name w:val="WW8Num1z1"/>
    <w:link w:val="Style_41"/>
  </w:style>
  <w:style w:styleId="Style_42" w:type="paragraph">
    <w:name w:val="Title"/>
    <w:next w:val="Style_1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1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WW8Num2z1"/>
    <w:link w:val="Style_44_ch"/>
  </w:style>
  <w:style w:styleId="Style_44_ch" w:type="character">
    <w:name w:val="WW8Num2z1"/>
    <w:link w:val="Style_44"/>
  </w:style>
  <w:style w:styleId="Style_45" w:type="paragraph">
    <w:name w:val="WW8Num1z2"/>
    <w:link w:val="Style_45_ch"/>
  </w:style>
  <w:style w:styleId="Style_45_ch" w:type="character">
    <w:name w:val="WW8Num1z2"/>
    <w:link w:val="Style_45"/>
  </w:style>
  <w:style w:styleId="Style_46" w:type="paragraph">
    <w:name w:val="heading 2"/>
    <w:next w:val="Style_1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2023-02-01T08:41:42Z</dcterms:modified>
</cp:coreProperties>
</file>